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2753" w14:textId="77777777" w:rsidR="00A24249" w:rsidRPr="00A24249" w:rsidRDefault="00A24249" w:rsidP="00A24249">
      <w:pPr>
        <w:keepNext/>
        <w:keepLines/>
        <w:spacing w:before="120" w:after="120"/>
        <w:outlineLvl w:val="0"/>
        <w:rPr>
          <w:rFonts w:asciiTheme="majorHAnsi" w:eastAsia="Times New Roman" w:hAnsiTheme="majorHAnsi" w:cstheme="majorBidi"/>
          <w:b/>
          <w:szCs w:val="24"/>
          <w:u w:val="single"/>
          <w:lang w:eastAsia="cs-CZ"/>
        </w:rPr>
      </w:pPr>
      <w:r w:rsidRPr="00A24249">
        <w:rPr>
          <w:rFonts w:asciiTheme="majorHAnsi" w:eastAsia="Times New Roman" w:hAnsiTheme="majorHAnsi" w:cstheme="majorBidi"/>
          <w:b/>
          <w:color w:val="FF5200" w:themeColor="accent2"/>
          <w:sz w:val="36"/>
          <w:szCs w:val="36"/>
          <w:u w:val="single"/>
          <w:lang w:eastAsia="cs-CZ"/>
        </w:rPr>
        <w:t xml:space="preserve">Kupní smlouva </w:t>
      </w:r>
    </w:p>
    <w:p w14:paraId="06866C32" w14:textId="16AD66F3" w:rsidR="00F20995" w:rsidRPr="008B2F9B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B2F9B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306A57" w:rsidRPr="008B2F9B">
        <w:rPr>
          <w:rFonts w:ascii="Verdana" w:hAnsi="Verdana" w:cstheme="minorHAnsi"/>
          <w:highlight w:val="yellow"/>
        </w:rPr>
        <w:t>[</w:t>
      </w:r>
      <w:r w:rsidR="009F352E">
        <w:rPr>
          <w:rFonts w:ascii="Verdana" w:hAnsi="Verdana" w:cstheme="minorHAnsi"/>
          <w:highlight w:val="yellow"/>
        </w:rPr>
        <w:t xml:space="preserve">DOPLNÍ </w:t>
      </w:r>
      <w:proofErr w:type="gramStart"/>
      <w:r w:rsidR="009F352E">
        <w:rPr>
          <w:rFonts w:ascii="Verdana" w:hAnsi="Verdana" w:cstheme="minorHAnsi"/>
          <w:highlight w:val="yellow"/>
        </w:rPr>
        <w:t xml:space="preserve">PRODÁVAJÍCÍ - </w:t>
      </w:r>
      <w:r w:rsidR="00B916ED" w:rsidRPr="008B2F9B">
        <w:rPr>
          <w:rFonts w:ascii="Verdana" w:hAnsi="Verdana" w:cstheme="minorHAnsi"/>
          <w:highlight w:val="yellow"/>
        </w:rPr>
        <w:t>BUDE</w:t>
      </w:r>
      <w:proofErr w:type="gramEnd"/>
      <w:r w:rsidR="00B916ED" w:rsidRPr="008B2F9B">
        <w:rPr>
          <w:rFonts w:ascii="Verdana" w:hAnsi="Verdana" w:cstheme="minorHAnsi"/>
          <w:highlight w:val="yellow"/>
        </w:rPr>
        <w:t xml:space="preserve"> SDĚ</w:t>
      </w:r>
      <w:r w:rsidR="008B2F9B" w:rsidRPr="008B2F9B">
        <w:rPr>
          <w:rFonts w:ascii="Verdana" w:hAnsi="Verdana" w:cstheme="minorHAnsi"/>
          <w:highlight w:val="yellow"/>
        </w:rPr>
        <w:t>LENO</w:t>
      </w:r>
      <w:r w:rsidR="00B916ED" w:rsidRPr="008B2F9B">
        <w:rPr>
          <w:rFonts w:ascii="Verdana" w:hAnsi="Verdana" w:cstheme="minorHAnsi"/>
          <w:highlight w:val="yellow"/>
        </w:rPr>
        <w:t xml:space="preserve"> V ROZHODNUTÍ</w:t>
      </w:r>
      <w:r w:rsidR="00796A0B" w:rsidRPr="008B2F9B">
        <w:rPr>
          <w:rFonts w:ascii="Verdana" w:hAnsi="Verdana" w:cstheme="minorHAnsi"/>
          <w:highlight w:val="yellow"/>
        </w:rPr>
        <w:t>]</w:t>
      </w:r>
    </w:p>
    <w:p w14:paraId="6DF16FA9" w14:textId="15CDA67F" w:rsidR="00F20995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E07F03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796A0B" w:rsidRPr="00E07F03">
        <w:rPr>
          <w:rFonts w:ascii="Verdana" w:hAnsi="Verdana"/>
          <w:highlight w:val="yellow"/>
        </w:rPr>
        <w:t>[DOPLNÍ PRODÁVAJÍCÍ]</w:t>
      </w:r>
    </w:p>
    <w:p w14:paraId="27568870" w14:textId="77777777" w:rsidR="00F20995" w:rsidRPr="00F20995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83BAFBF" w14:textId="77777777" w:rsidR="00C10104" w:rsidRPr="000C5DA0" w:rsidRDefault="00C10104" w:rsidP="00C101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74D1DF91" w14:textId="74A4C1F4" w:rsidR="00C10104" w:rsidRPr="000C5DA0" w:rsidRDefault="00C10104" w:rsidP="00C366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>. zn. A 48384</w:t>
      </w:r>
    </w:p>
    <w:p w14:paraId="327AABD2" w14:textId="77777777" w:rsidR="00C10104" w:rsidRPr="000C5DA0" w:rsidRDefault="00C10104" w:rsidP="00C101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5CCB8DD" w14:textId="77777777" w:rsidR="00C366E0" w:rsidRDefault="00C10104" w:rsidP="00C366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05130BEA" w14:textId="3FA9D821" w:rsidR="00C10104" w:rsidRPr="00C366E0" w:rsidRDefault="00C366E0" w:rsidP="00C366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tab/>
      </w:r>
      <w:r>
        <w:tab/>
      </w:r>
      <w:r w:rsidR="00C10104">
        <w:t xml:space="preserve">Identifikátor datové schránky: </w:t>
      </w:r>
      <w:proofErr w:type="spellStart"/>
      <w:r w:rsidR="00C10104" w:rsidRPr="009F0510">
        <w:t>uccchjm</w:t>
      </w:r>
      <w:proofErr w:type="spellEnd"/>
    </w:p>
    <w:p w14:paraId="46BCBADE" w14:textId="77777777" w:rsidR="00C10104" w:rsidRDefault="00C10104" w:rsidP="00C101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59AC97" w14:textId="77777777" w:rsidR="00C10104" w:rsidRDefault="00C10104" w:rsidP="00C101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83F03CE" w14:textId="1CC33743" w:rsidR="00C10104" w:rsidRPr="00C10104" w:rsidRDefault="00C366E0" w:rsidP="00C10104">
      <w:pPr>
        <w:pStyle w:val="Textbezodsazen"/>
        <w:widowControl w:val="0"/>
        <w:spacing w:after="0"/>
        <w:rPr>
          <w:b/>
        </w:rPr>
      </w:pPr>
      <w:r>
        <w:rPr>
          <w:b/>
        </w:rPr>
        <w:t>O</w:t>
      </w:r>
      <w:r w:rsidR="00C10104" w:rsidRPr="00C10104">
        <w:rPr>
          <w:b/>
        </w:rPr>
        <w:t>rganizační jednotka kupujícího:</w:t>
      </w:r>
    </w:p>
    <w:p w14:paraId="2481E5B5" w14:textId="0B4DEA10" w:rsidR="00C10104" w:rsidRPr="000B2443" w:rsidRDefault="00C10104" w:rsidP="00C10104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66671">
        <w:t>Oblastní ředitelství Praha</w:t>
      </w:r>
    </w:p>
    <w:p w14:paraId="4E06D06E" w14:textId="4719106C" w:rsidR="00C10104" w:rsidRDefault="00C10104" w:rsidP="00C10104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83834">
        <w:t>Partyzánská 24, 170 00 Praha 7</w:t>
      </w:r>
      <w:r w:rsidRPr="000B39E3">
        <w:rPr>
          <w:rFonts w:ascii="Verdana" w:eastAsia="Verdana" w:hAnsi="Verdana" w:cs="Times New Roman"/>
          <w:noProof/>
        </w:rPr>
        <w:t xml:space="preserve"> </w:t>
      </w:r>
      <w:r w:rsidRPr="008E400F" w:rsidDel="004D367A">
        <w:t xml:space="preserve"> </w:t>
      </w:r>
    </w:p>
    <w:p w14:paraId="4D5BB0B0" w14:textId="5A5A99B8" w:rsidR="00AE4595" w:rsidRPr="0085689D" w:rsidRDefault="00AE4595" w:rsidP="00F457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F487F4" w14:textId="4D162F3D" w:rsidR="00AE4595" w:rsidRDefault="00AE4595" w:rsidP="00F457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A24249">
        <w:rPr>
          <w:rFonts w:eastAsia="Times New Roman" w:cs="Times New Roman"/>
          <w:lang w:eastAsia="cs-CZ"/>
        </w:rPr>
        <w:t xml:space="preserve">Zastoupená: </w:t>
      </w:r>
      <w:r w:rsidRPr="00A24249">
        <w:rPr>
          <w:iCs/>
        </w:rPr>
        <w:t xml:space="preserve">Ing. Vladimírem Filipem, ředitelem Oblastního ředitelství Praha na </w:t>
      </w:r>
      <w:r w:rsidRPr="00A24249">
        <w:rPr>
          <w:iCs/>
        </w:rPr>
        <w:tab/>
      </w:r>
      <w:r w:rsidRPr="00A24249">
        <w:rPr>
          <w:iCs/>
        </w:rPr>
        <w:tab/>
        <w:t xml:space="preserve">základě pověření č. </w:t>
      </w:r>
      <w:r w:rsidR="00A24249" w:rsidRPr="00A24249">
        <w:rPr>
          <w:iCs/>
        </w:rPr>
        <w:t>3368</w:t>
      </w:r>
      <w:r w:rsidRPr="00A24249">
        <w:rPr>
          <w:iCs/>
        </w:rPr>
        <w:t xml:space="preserve"> ze dne </w:t>
      </w:r>
      <w:r w:rsidR="00A24249" w:rsidRPr="00A24249">
        <w:rPr>
          <w:iCs/>
        </w:rPr>
        <w:t>1</w:t>
      </w:r>
      <w:r w:rsidRPr="00A24249">
        <w:rPr>
          <w:iCs/>
        </w:rPr>
        <w:t>1. 0</w:t>
      </w:r>
      <w:r w:rsidR="00A24249" w:rsidRPr="00A24249">
        <w:rPr>
          <w:iCs/>
        </w:rPr>
        <w:t>7</w:t>
      </w:r>
      <w:r w:rsidRPr="00A24249">
        <w:rPr>
          <w:iCs/>
        </w:rPr>
        <w:t>. 20</w:t>
      </w:r>
      <w:r w:rsidR="00A24249" w:rsidRPr="00A24249">
        <w:rPr>
          <w:iCs/>
        </w:rPr>
        <w:t>23</w:t>
      </w:r>
    </w:p>
    <w:p w14:paraId="6BC46648" w14:textId="77777777" w:rsidR="005F67F7" w:rsidRDefault="005F67F7" w:rsidP="00F45791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18446FF2" w14:textId="2C8B017A" w:rsidR="005F67F7" w:rsidRPr="00B42F40" w:rsidRDefault="005F67F7" w:rsidP="00F4579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1487509D" w14:textId="77777777" w:rsidR="005F67F7" w:rsidRDefault="005F67F7" w:rsidP="00F45791">
      <w:pPr>
        <w:pStyle w:val="Textbezodsazen"/>
        <w:spacing w:after="0"/>
      </w:pPr>
      <w:r>
        <w:t>Správa železnic, státní organizace</w:t>
      </w:r>
    </w:p>
    <w:p w14:paraId="262C4545" w14:textId="77777777" w:rsidR="005F67F7" w:rsidRDefault="005F67F7" w:rsidP="00F45791">
      <w:pPr>
        <w:pStyle w:val="Textbezodsazen"/>
        <w:spacing w:after="0"/>
      </w:pPr>
      <w:r>
        <w:t xml:space="preserve">Oblastní ředitelství Praha </w:t>
      </w:r>
    </w:p>
    <w:p w14:paraId="0B6A1E51" w14:textId="77777777" w:rsidR="005F67F7" w:rsidRDefault="005F67F7" w:rsidP="00F45791">
      <w:pPr>
        <w:pStyle w:val="Textbezodsazen"/>
        <w:spacing w:after="0"/>
      </w:pPr>
      <w:r>
        <w:t>Partyzánská 24, 170 00 Praha 7</w:t>
      </w:r>
    </w:p>
    <w:p w14:paraId="0119D063" w14:textId="77777777" w:rsidR="005F67F7" w:rsidRDefault="005F67F7" w:rsidP="00F45791">
      <w:pPr>
        <w:pStyle w:val="Textbezodsazen"/>
        <w:spacing w:after="0"/>
      </w:pPr>
    </w:p>
    <w:p w14:paraId="565C19F7" w14:textId="2DF2AF98" w:rsidR="005F67F7" w:rsidRDefault="005F67F7" w:rsidP="00F45791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2D28EC39" w14:textId="6B5BA295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E07F03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E07F03">
        <w:rPr>
          <w:rFonts w:eastAsia="Times New Roman" w:cs="Times New Roman"/>
          <w:highlight w:val="yellow"/>
          <w:lang w:eastAsia="cs-CZ"/>
        </w:rPr>
        <w:t>jméno osoby</w:t>
      </w:r>
      <w:r w:rsidR="00796A0B" w:rsidRPr="00E07F03">
        <w:rPr>
          <w:rFonts w:eastAsia="Times New Roman" w:cs="Times New Roman"/>
          <w:highlight w:val="yellow"/>
          <w:lang w:eastAsia="cs-CZ"/>
        </w:rPr>
        <w:t xml:space="preserve"> </w:t>
      </w:r>
      <w:r w:rsidR="00796A0B" w:rsidRPr="00E07F03">
        <w:rPr>
          <w:rFonts w:ascii="Verdana" w:hAnsi="Verdana"/>
          <w:highlight w:val="yellow"/>
        </w:rPr>
        <w:t>[DOPLNÍ PRODÁVAJÍCÍ]</w:t>
      </w:r>
    </w:p>
    <w:p w14:paraId="05A19514" w14:textId="158235EA" w:rsidR="00D85C5B" w:rsidRPr="00E07F03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údaje o zápisu v evidenci</w:t>
      </w:r>
    </w:p>
    <w:p w14:paraId="22E0CB47" w14:textId="3F5B1658" w:rsidR="00D85C5B" w:rsidRPr="00E07F03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údaje o sídlu</w:t>
      </w:r>
    </w:p>
    <w:p w14:paraId="385B5569" w14:textId="2474FA9F" w:rsidR="00D85C5B" w:rsidRPr="00E07F03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E07F03">
        <w:rPr>
          <w:rFonts w:eastAsia="Times New Roman" w:cs="Times New Roman"/>
          <w:highlight w:val="yellow"/>
          <w:lang w:eastAsia="cs-CZ"/>
        </w:rPr>
        <w:t>… ,</w:t>
      </w:r>
      <w:proofErr w:type="gramEnd"/>
      <w:r w:rsidRPr="00E07F03">
        <w:rPr>
          <w:rFonts w:eastAsia="Times New Roman" w:cs="Times New Roman"/>
          <w:highlight w:val="yellow"/>
          <w:lang w:eastAsia="cs-CZ"/>
        </w:rPr>
        <w:t xml:space="preserve"> DIČ …………………</w:t>
      </w:r>
    </w:p>
    <w:p w14:paraId="39F2A5A3" w14:textId="77777777" w:rsidR="00F20995" w:rsidRPr="00E07F03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 xml:space="preserve">Bankovní </w:t>
      </w:r>
      <w:proofErr w:type="gramStart"/>
      <w:r w:rsidRPr="00E07F03">
        <w:rPr>
          <w:rFonts w:eastAsia="Times New Roman" w:cs="Times New Roman"/>
          <w:highlight w:val="yellow"/>
          <w:lang w:eastAsia="cs-CZ"/>
        </w:rPr>
        <w:t>spojení:…</w:t>
      </w:r>
      <w:proofErr w:type="gramEnd"/>
      <w:r w:rsidRPr="00E07F03">
        <w:rPr>
          <w:rFonts w:eastAsia="Times New Roman" w:cs="Times New Roman"/>
          <w:highlight w:val="yellow"/>
          <w:lang w:eastAsia="cs-CZ"/>
        </w:rPr>
        <w:t>…………………..</w:t>
      </w:r>
    </w:p>
    <w:p w14:paraId="2CC92AF1" w14:textId="77777777" w:rsidR="00F20995" w:rsidRPr="00E07F03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9BA84C1" w:rsidR="00F20995" w:rsidRDefault="00F20995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údaje o statutárním orgánu nebo jiné oprávněné osobě</w:t>
      </w:r>
    </w:p>
    <w:p w14:paraId="0383E62A" w14:textId="77777777" w:rsidR="007452AF" w:rsidRPr="0079254B" w:rsidRDefault="007452AF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6B520931" w:rsidR="00D85C5B" w:rsidRDefault="007452AF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Prodávající</w:t>
      </w:r>
      <w:r>
        <w:t>“)</w:t>
      </w:r>
    </w:p>
    <w:p w14:paraId="0D49BEE4" w14:textId="77777777" w:rsidR="007452AF" w:rsidRPr="000C5DA0" w:rsidRDefault="007452AF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49D0882" w:rsidR="00D85C5B" w:rsidRPr="000C5DA0" w:rsidRDefault="00D85C5B" w:rsidP="00F45791">
      <w:pPr>
        <w:widowControl w:val="0"/>
        <w:spacing w:after="0" w:line="240" w:lineRule="auto"/>
        <w:contextualSpacing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7A3AC2">
        <w:rPr>
          <w:lang w:eastAsia="cs-CZ"/>
        </w:rPr>
        <w:t xml:space="preserve">výsledků </w:t>
      </w:r>
      <w:r w:rsidR="00677BC8" w:rsidRPr="007A3AC2">
        <w:rPr>
          <w:lang w:eastAsia="cs-CZ"/>
        </w:rPr>
        <w:t>výběrového</w:t>
      </w:r>
      <w:r w:rsidRPr="007A3AC2">
        <w:rPr>
          <w:lang w:eastAsia="cs-CZ"/>
        </w:rPr>
        <w:t xml:space="preserve"> řízení</w:t>
      </w:r>
      <w:r w:rsidRPr="000C5DA0">
        <w:rPr>
          <w:lang w:eastAsia="cs-CZ"/>
        </w:rPr>
        <w:t xml:space="preserve"> veřejné zakázky s názvem </w:t>
      </w:r>
      <w:r w:rsidRPr="007A3AC2">
        <w:rPr>
          <w:b/>
          <w:lang w:eastAsia="cs-CZ"/>
        </w:rPr>
        <w:t>„</w:t>
      </w:r>
      <w:bookmarkStart w:id="0" w:name="_Hlk138850887"/>
      <w:r w:rsidR="007A3AC2" w:rsidRPr="007A3AC2">
        <w:rPr>
          <w:b/>
          <w:lang w:eastAsia="cs-CZ"/>
        </w:rPr>
        <w:t xml:space="preserve">Nákup nové </w:t>
      </w:r>
      <w:proofErr w:type="spellStart"/>
      <w:r w:rsidR="007A3AC2" w:rsidRPr="007A3AC2">
        <w:rPr>
          <w:b/>
          <w:lang w:eastAsia="cs-CZ"/>
        </w:rPr>
        <w:t>celokřižovatkové</w:t>
      </w:r>
      <w:proofErr w:type="spellEnd"/>
      <w:r w:rsidR="007A3AC2" w:rsidRPr="007A3AC2">
        <w:rPr>
          <w:b/>
          <w:lang w:eastAsia="cs-CZ"/>
        </w:rPr>
        <w:t xml:space="preserve"> výhybky</w:t>
      </w:r>
      <w:bookmarkEnd w:id="0"/>
      <w:r w:rsidRPr="007A3AC2">
        <w:rPr>
          <w:b/>
          <w:lang w:eastAsia="cs-CZ"/>
        </w:rPr>
        <w:t>“</w:t>
      </w:r>
      <w:r w:rsidRPr="007A3AC2">
        <w:rPr>
          <w:lang w:eastAsia="cs-CZ"/>
        </w:rPr>
        <w:t xml:space="preserve">, </w:t>
      </w:r>
      <w:r w:rsidR="001C22E7" w:rsidRPr="005531F4">
        <w:rPr>
          <w:rFonts w:eastAsia="Times New Roman" w:cs="Times New Roman"/>
          <w:lang w:eastAsia="cs-CZ"/>
        </w:rPr>
        <w:t>č.j. veřejné zakázky</w:t>
      </w:r>
      <w:r w:rsidR="00F20995" w:rsidRPr="005531F4">
        <w:rPr>
          <w:rFonts w:eastAsia="Times New Roman" w:cs="Times New Roman"/>
          <w:lang w:eastAsia="cs-CZ"/>
        </w:rPr>
        <w:t xml:space="preserve"> </w:t>
      </w:r>
      <w:r w:rsidR="005531F4" w:rsidRPr="005531F4">
        <w:rPr>
          <w:rFonts w:eastAsia="Times New Roman" w:cs="Times New Roman"/>
          <w:lang w:eastAsia="cs-CZ"/>
        </w:rPr>
        <w:t xml:space="preserve">26518/2023-SŽ-OŘ PHA-OVZ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16413" w:rsidRDefault="00D85C5B" w:rsidP="00F45791">
      <w:pPr>
        <w:pStyle w:val="Nadpis1"/>
        <w:numPr>
          <w:ilvl w:val="0"/>
          <w:numId w:val="23"/>
        </w:numPr>
        <w:jc w:val="both"/>
      </w:pPr>
      <w:r w:rsidRPr="00116413">
        <w:t>Předmět koupě (přesná specifikace)</w:t>
      </w:r>
    </w:p>
    <w:p w14:paraId="1CC662D5" w14:textId="4D9553D9" w:rsidR="00D85C5B" w:rsidRPr="0047567B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7567B">
        <w:rPr>
          <w:rFonts w:eastAsia="Times New Roman" w:cs="Times New Roman"/>
          <w:lang w:eastAsia="cs-CZ"/>
        </w:rPr>
        <w:t xml:space="preserve">Předmětem koupě je </w:t>
      </w:r>
      <w:r w:rsidR="00444A1C" w:rsidRPr="00FC3336">
        <w:rPr>
          <w:rFonts w:cs="Arial"/>
        </w:rPr>
        <w:t>nákup nové výhybky</w:t>
      </w:r>
      <w:r w:rsidR="00444A1C">
        <w:rPr>
          <w:rFonts w:cs="Arial"/>
        </w:rPr>
        <w:t xml:space="preserve"> s označením C49-1:9-</w:t>
      </w:r>
      <w:proofErr w:type="gramStart"/>
      <w:r w:rsidR="00444A1C">
        <w:rPr>
          <w:rFonts w:cs="Arial"/>
        </w:rPr>
        <w:t>190-zl</w:t>
      </w:r>
      <w:proofErr w:type="gramEnd"/>
      <w:r w:rsidR="00444A1C">
        <w:rPr>
          <w:rFonts w:cs="Arial"/>
        </w:rPr>
        <w:t>-ČZp-b-KS-SK-K0</w:t>
      </w:r>
      <w:r w:rsidR="00444A1C" w:rsidRPr="00FC3336">
        <w:rPr>
          <w:rFonts w:cs="Arial"/>
        </w:rPr>
        <w:t xml:space="preserve"> včetně dodání všech komponent</w:t>
      </w:r>
      <w:r w:rsidR="00444A1C">
        <w:rPr>
          <w:rFonts w:cs="Arial"/>
        </w:rPr>
        <w:t xml:space="preserve"> a následně základní (první) broušení po jejím vložení do provozované koleje.</w:t>
      </w:r>
    </w:p>
    <w:p w14:paraId="01CA54BB" w14:textId="27A5FDFE" w:rsidR="00D85C5B" w:rsidRPr="0047567B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7567B">
        <w:rPr>
          <w:rFonts w:eastAsia="Times New Roman" w:cs="Times New Roman"/>
          <w:lang w:eastAsia="cs-CZ"/>
        </w:rPr>
        <w:t xml:space="preserve">Přesná </w:t>
      </w:r>
      <w:r w:rsidR="00BA14C1">
        <w:rPr>
          <w:rFonts w:eastAsia="Times New Roman" w:cs="Times New Roman"/>
          <w:lang w:eastAsia="cs-CZ"/>
        </w:rPr>
        <w:t xml:space="preserve">technická </w:t>
      </w:r>
      <w:r w:rsidRPr="0047567B">
        <w:rPr>
          <w:rFonts w:eastAsia="Times New Roman" w:cs="Times New Roman"/>
          <w:lang w:eastAsia="cs-CZ"/>
        </w:rPr>
        <w:t>specifikace je uvedena v příloze č.</w:t>
      </w:r>
      <w:r w:rsidR="00945170">
        <w:rPr>
          <w:rFonts w:eastAsia="Times New Roman" w:cs="Times New Roman"/>
          <w:lang w:eastAsia="cs-CZ"/>
        </w:rPr>
        <w:t xml:space="preserve"> </w:t>
      </w:r>
      <w:r w:rsidR="00FD1CC0" w:rsidRPr="0047567B">
        <w:rPr>
          <w:rFonts w:eastAsia="Times New Roman" w:cs="Times New Roman"/>
          <w:lang w:eastAsia="cs-CZ"/>
        </w:rPr>
        <w:t xml:space="preserve">7 </w:t>
      </w:r>
      <w:r w:rsidRPr="0047567B">
        <w:rPr>
          <w:rFonts w:eastAsia="Times New Roman" w:cs="Times New Roman"/>
          <w:lang w:eastAsia="cs-CZ"/>
        </w:rPr>
        <w:t xml:space="preserve">této </w:t>
      </w:r>
      <w:r w:rsidR="008B1447" w:rsidRPr="0047567B">
        <w:rPr>
          <w:rFonts w:eastAsia="Times New Roman" w:cs="Times New Roman"/>
          <w:lang w:eastAsia="cs-CZ"/>
        </w:rPr>
        <w:t>Sml</w:t>
      </w:r>
      <w:r w:rsidRPr="0047567B">
        <w:rPr>
          <w:rFonts w:eastAsia="Times New Roman" w:cs="Times New Roman"/>
          <w:lang w:eastAsia="cs-CZ"/>
        </w:rPr>
        <w:t>ouvy.</w:t>
      </w:r>
    </w:p>
    <w:p w14:paraId="46F1124F" w14:textId="487C6C9B" w:rsidR="00D85C5B" w:rsidRPr="0047567B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47567B">
        <w:rPr>
          <w:rFonts w:eastAsia="Times New Roman" w:cs="Times New Roman"/>
          <w:lang w:eastAsia="cs-CZ"/>
        </w:rPr>
        <w:t>Jakost ani provedení Předmětu koupě není určeno vzorkem.</w:t>
      </w:r>
    </w:p>
    <w:p w14:paraId="37462DC3" w14:textId="506D93D4" w:rsidR="00E60DBC" w:rsidRPr="0047567B" w:rsidRDefault="00E60DBC" w:rsidP="00F45791">
      <w:pPr>
        <w:pStyle w:val="Nadpis1"/>
        <w:numPr>
          <w:ilvl w:val="0"/>
          <w:numId w:val="23"/>
        </w:numPr>
        <w:ind w:left="357" w:hanging="357"/>
        <w:jc w:val="both"/>
        <w:rPr>
          <w:rFonts w:eastAsia="Times New Roman"/>
          <w:lang w:eastAsia="cs-CZ"/>
        </w:rPr>
      </w:pPr>
      <w:r w:rsidRPr="0047567B">
        <w:rPr>
          <w:rFonts w:eastAsia="Times New Roman"/>
          <w:lang w:eastAsia="cs-CZ"/>
        </w:rPr>
        <w:lastRenderedPageBreak/>
        <w:t>Kupní cena předmětu koupě</w:t>
      </w:r>
    </w:p>
    <w:p w14:paraId="01FA3DA7" w14:textId="0C4DD2F3" w:rsidR="00C24C30" w:rsidRPr="00835FC5" w:rsidRDefault="00AE4595" w:rsidP="00F45791">
      <w:pPr>
        <w:pStyle w:val="Odstavecseseznamem"/>
        <w:widowControl w:val="0"/>
        <w:numPr>
          <w:ilvl w:val="1"/>
          <w:numId w:val="23"/>
        </w:numPr>
        <w:spacing w:after="0" w:line="240" w:lineRule="auto"/>
        <w:ind w:left="709" w:hanging="715"/>
        <w:jc w:val="both"/>
        <w:rPr>
          <w:rFonts w:eastAsia="Times New Roman" w:cs="Times New Roman"/>
          <w:lang w:eastAsia="cs-CZ"/>
        </w:rPr>
      </w:pPr>
      <w:r w:rsidRPr="008D0D38">
        <w:rPr>
          <w:lang w:eastAsia="cs-CZ"/>
        </w:rPr>
        <w:t>Kupní cena za celý předmět smlouvy je uvedena v příloze č.</w:t>
      </w:r>
      <w:r w:rsidR="00945170">
        <w:rPr>
          <w:lang w:eastAsia="cs-CZ"/>
        </w:rPr>
        <w:t xml:space="preserve"> </w:t>
      </w:r>
      <w:r w:rsidR="008D0D38" w:rsidRPr="008D0D38">
        <w:rPr>
          <w:lang w:eastAsia="cs-CZ"/>
        </w:rPr>
        <w:t>2</w:t>
      </w:r>
      <w:r w:rsidR="00FF712B">
        <w:rPr>
          <w:lang w:eastAsia="cs-CZ"/>
        </w:rPr>
        <w:t xml:space="preserve"> s názvem </w:t>
      </w:r>
      <w:r w:rsidR="0047567B" w:rsidRPr="0047567B">
        <w:rPr>
          <w:rFonts w:eastAsia="Times New Roman" w:cs="Times New Roman"/>
          <w:lang w:eastAsia="cs-CZ"/>
        </w:rPr>
        <w:t xml:space="preserve">Nabídkový </w:t>
      </w:r>
      <w:r w:rsidR="0047567B" w:rsidRPr="00835FC5">
        <w:rPr>
          <w:rFonts w:eastAsia="Times New Roman" w:cs="Times New Roman"/>
          <w:lang w:eastAsia="cs-CZ"/>
        </w:rPr>
        <w:t>ceník</w:t>
      </w:r>
      <w:r w:rsidR="00C24C30" w:rsidRPr="00835FC5">
        <w:rPr>
          <w:rFonts w:eastAsia="Times New Roman" w:cs="Times New Roman"/>
          <w:lang w:eastAsia="cs-CZ"/>
        </w:rPr>
        <w:t>.</w:t>
      </w:r>
    </w:p>
    <w:p w14:paraId="47A205F7" w14:textId="66F29494" w:rsidR="002B20CA" w:rsidRPr="00835FC5" w:rsidRDefault="007F5EC4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35FC5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835FC5">
        <w:rPr>
          <w:rFonts w:eastAsia="Times New Roman" w:cs="Times New Roman"/>
          <w:lang w:eastAsia="cs-CZ"/>
        </w:rPr>
        <w:t>Sml</w:t>
      </w:r>
      <w:r w:rsidRPr="00835FC5">
        <w:rPr>
          <w:rFonts w:eastAsia="Times New Roman" w:cs="Times New Roman"/>
          <w:lang w:eastAsia="cs-CZ"/>
        </w:rPr>
        <w:t>uvními stranami</w:t>
      </w:r>
      <w:r w:rsidR="002B20CA" w:rsidRPr="00835FC5">
        <w:rPr>
          <w:rFonts w:eastAsia="Times New Roman" w:cs="Times New Roman"/>
          <w:lang w:eastAsia="cs-CZ"/>
        </w:rPr>
        <w:t>.</w:t>
      </w:r>
    </w:p>
    <w:p w14:paraId="54C88183" w14:textId="33287406" w:rsidR="00BE2F45" w:rsidRPr="008C5881" w:rsidRDefault="00BE2F45" w:rsidP="008C588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7725C329" w14:textId="61073742" w:rsidR="00782A52" w:rsidRPr="00835FC5" w:rsidRDefault="00BE2F45" w:rsidP="00F45791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Splatnost daňového dokladu (faktury) se sjednává </w:t>
      </w:r>
      <w:r w:rsidRPr="00A439C1">
        <w:rPr>
          <w:rFonts w:eastAsia="Times New Roman" w:cs="Times New Roman"/>
          <w:lang w:eastAsia="cs-CZ"/>
        </w:rPr>
        <w:t xml:space="preserve">na </w:t>
      </w:r>
      <w:r w:rsidR="00A24249">
        <w:rPr>
          <w:rFonts w:eastAsia="Times New Roman" w:cs="Times New Roman"/>
          <w:lang w:eastAsia="cs-CZ"/>
        </w:rPr>
        <w:t>3</w:t>
      </w:r>
      <w:r w:rsidRPr="00A439C1">
        <w:rPr>
          <w:rFonts w:eastAsia="Times New Roman" w:cs="Times New Roman"/>
          <w:lang w:eastAsia="cs-CZ"/>
        </w:rPr>
        <w:t>0 kalendářních dnů</w:t>
      </w:r>
      <w:r w:rsidRPr="00782A52">
        <w:rPr>
          <w:rFonts w:eastAsia="Times New Roman" w:cs="Times New Roman"/>
          <w:lang w:eastAsia="cs-CZ"/>
        </w:rPr>
        <w:t xml:space="preserve"> od jejího písemného doručení Kupujícímu. V případě, že faktura </w:t>
      </w:r>
      <w:r w:rsidR="00227BAE">
        <w:rPr>
          <w:rFonts w:eastAsia="Times New Roman" w:cs="Times New Roman"/>
          <w:lang w:eastAsia="cs-CZ"/>
        </w:rPr>
        <w:t xml:space="preserve">nebude </w:t>
      </w:r>
      <w:r w:rsidRPr="00782A52">
        <w:rPr>
          <w:rFonts w:eastAsia="Times New Roman" w:cs="Times New Roman"/>
          <w:lang w:eastAsia="cs-CZ"/>
        </w:rPr>
        <w:t xml:space="preserve">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</w:t>
      </w:r>
      <w:r w:rsidRPr="00835FC5">
        <w:rPr>
          <w:rFonts w:eastAsia="Times New Roman" w:cs="Times New Roman"/>
          <w:lang w:eastAsia="cs-CZ"/>
        </w:rPr>
        <w:t>doplněné faktury Kupujícímu.</w:t>
      </w:r>
    </w:p>
    <w:p w14:paraId="70884A3F" w14:textId="77777777" w:rsidR="00D85C5B" w:rsidRPr="00835FC5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835FC5">
        <w:rPr>
          <w:rFonts w:eastAsia="Times New Roman"/>
          <w:lang w:eastAsia="cs-CZ"/>
        </w:rPr>
        <w:t>Místo a doba dodání</w:t>
      </w:r>
    </w:p>
    <w:p w14:paraId="37954E98" w14:textId="0F3F7832" w:rsidR="00D85C5B" w:rsidRPr="00835FC5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35FC5">
        <w:rPr>
          <w:rFonts w:eastAsia="Times New Roman" w:cs="Times New Roman"/>
          <w:lang w:eastAsia="cs-CZ"/>
        </w:rPr>
        <w:t xml:space="preserve">Místo dodání je </w:t>
      </w:r>
      <w:proofErr w:type="spellStart"/>
      <w:r w:rsidR="00835FC5" w:rsidRPr="00835FC5">
        <w:rPr>
          <w:rFonts w:eastAsia="Times New Roman" w:cs="Times New Roman"/>
          <w:lang w:eastAsia="cs-CZ"/>
        </w:rPr>
        <w:t>žst</w:t>
      </w:r>
      <w:proofErr w:type="spellEnd"/>
      <w:r w:rsidR="00835FC5" w:rsidRPr="00835FC5">
        <w:rPr>
          <w:rFonts w:eastAsia="Times New Roman" w:cs="Times New Roman"/>
          <w:lang w:eastAsia="cs-CZ"/>
        </w:rPr>
        <w:t>. Praha Krč</w:t>
      </w:r>
      <w:r w:rsidRPr="00835FC5">
        <w:rPr>
          <w:rFonts w:eastAsia="Times New Roman" w:cs="Times New Roman"/>
          <w:lang w:eastAsia="cs-CZ"/>
        </w:rPr>
        <w:t>.</w:t>
      </w:r>
    </w:p>
    <w:p w14:paraId="5115D35D" w14:textId="6259D1F3" w:rsidR="00D85C5B" w:rsidRPr="00835FC5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35FC5">
        <w:rPr>
          <w:rFonts w:eastAsia="Times New Roman" w:cs="Times New Roman"/>
          <w:lang w:eastAsia="cs-CZ"/>
        </w:rPr>
        <w:t xml:space="preserve">Předmět koupě bude dodán </w:t>
      </w:r>
      <w:r w:rsidR="00835FC5" w:rsidRPr="00835FC5">
        <w:rPr>
          <w:rFonts w:eastAsia="Times New Roman" w:cs="Times New Roman"/>
          <w:lang w:eastAsia="cs-CZ"/>
        </w:rPr>
        <w:t>v termínu 16.11.</w:t>
      </w:r>
      <w:r w:rsidR="00444A1C">
        <w:rPr>
          <w:rFonts w:eastAsia="Times New Roman" w:cs="Times New Roman"/>
          <w:lang w:eastAsia="cs-CZ"/>
        </w:rPr>
        <w:t>2023</w:t>
      </w:r>
      <w:r w:rsidR="00835FC5" w:rsidRPr="00835FC5">
        <w:rPr>
          <w:rFonts w:eastAsia="Times New Roman" w:cs="Times New Roman"/>
          <w:lang w:eastAsia="cs-CZ"/>
        </w:rPr>
        <w:t xml:space="preserve"> – 10.12.2023 (termín bude upřesněn nejpozději do 31.10.2023)</w:t>
      </w:r>
      <w:r w:rsidRPr="00835FC5">
        <w:rPr>
          <w:rFonts w:eastAsia="Times New Roman" w:cs="Times New Roman"/>
          <w:lang w:eastAsia="cs-CZ"/>
        </w:rPr>
        <w:t>.</w:t>
      </w:r>
    </w:p>
    <w:p w14:paraId="53B1A76F" w14:textId="28C9093D" w:rsidR="00BE2F45" w:rsidRPr="00835FC5" w:rsidRDefault="00BE2F45" w:rsidP="008C588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35FC5">
        <w:rPr>
          <w:rFonts w:ascii="Verdana" w:hAnsi="Verdana" w:cstheme="minorHAnsi"/>
        </w:rPr>
        <w:t xml:space="preserve">Prodávající je povinen vyrozumět určeného zaměstnance </w:t>
      </w:r>
      <w:r w:rsidR="001165AF" w:rsidRPr="00835FC5">
        <w:rPr>
          <w:rFonts w:ascii="Verdana" w:hAnsi="Verdana" w:cstheme="minorHAnsi"/>
        </w:rPr>
        <w:t xml:space="preserve">Kupujícího dle čl. 9 této Smlouvy </w:t>
      </w:r>
      <w:r w:rsidRPr="00835FC5">
        <w:rPr>
          <w:rFonts w:ascii="Verdana" w:hAnsi="Verdana" w:cstheme="minorHAnsi"/>
        </w:rPr>
        <w:t>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77777777" w:rsidR="00D85C5B" w:rsidRPr="000C5DA0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581B45AF" w:rsidR="00D85C5B" w:rsidRPr="00BA14C1" w:rsidRDefault="00AE4595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A14C1">
        <w:rPr>
          <w:rFonts w:eastAsia="Times New Roman" w:cs="Times New Roman"/>
          <w:lang w:eastAsia="cs-CZ"/>
        </w:rPr>
        <w:t xml:space="preserve">Prodávající </w:t>
      </w:r>
      <w:r w:rsidRPr="00BA14C1">
        <w:rPr>
          <w:rFonts w:asciiTheme="majorHAnsi" w:hAnsiTheme="majorHAnsi"/>
        </w:rPr>
        <w:t xml:space="preserve">se zavazuje při podpisu této smlouvy předložit kupujícímu pojištění odpovědnosti za škody způsobené jeho podnikatelskou činností jiné osobě, přičemž sjednané pojistné plnění musí </w:t>
      </w:r>
      <w:r w:rsidRPr="00444A1C">
        <w:rPr>
          <w:rFonts w:asciiTheme="majorHAnsi" w:hAnsiTheme="majorHAnsi"/>
        </w:rPr>
        <w:t xml:space="preserve">činit </w:t>
      </w:r>
      <w:r w:rsidR="00444A1C" w:rsidRPr="00444A1C">
        <w:rPr>
          <w:rFonts w:asciiTheme="majorHAnsi" w:hAnsiTheme="majorHAnsi"/>
        </w:rPr>
        <w:t xml:space="preserve">5 mil. </w:t>
      </w:r>
      <w:r w:rsidRPr="00444A1C">
        <w:rPr>
          <w:rFonts w:asciiTheme="majorHAnsi" w:hAnsiTheme="majorHAnsi"/>
        </w:rPr>
        <w:t>Kč</w:t>
      </w:r>
      <w:r w:rsidRPr="00BA14C1">
        <w:rPr>
          <w:rFonts w:asciiTheme="majorHAnsi" w:hAnsiTheme="majorHAnsi"/>
        </w:rPr>
        <w:t xml:space="preserve"> a pojistná doba musí pokrývat celou dobu trvání smluvního vztahu.</w:t>
      </w:r>
    </w:p>
    <w:p w14:paraId="3776C210" w14:textId="77777777" w:rsidR="00D85C5B" w:rsidRPr="00BA14C1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A14C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EE3379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EE3379">
        <w:rPr>
          <w:rFonts w:eastAsia="Times New Roman"/>
          <w:lang w:eastAsia="cs-CZ"/>
        </w:rPr>
        <w:t>Listiny (doklady)</w:t>
      </w:r>
    </w:p>
    <w:p w14:paraId="249D087E" w14:textId="725ADB1E" w:rsidR="00D85C5B" w:rsidRPr="00EE3379" w:rsidRDefault="00D85C5B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3379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AE4595" w:rsidRPr="00EE3379">
        <w:rPr>
          <w:rFonts w:eastAsia="Times New Roman" w:cs="Times New Roman"/>
          <w:lang w:eastAsia="cs-CZ"/>
        </w:rPr>
        <w:t xml:space="preserve"> </w:t>
      </w:r>
      <w:r w:rsidR="00EE3379" w:rsidRPr="00EE3379">
        <w:rPr>
          <w:rFonts w:eastAsia="Times New Roman" w:cs="Times New Roman"/>
          <w:lang w:eastAsia="cs-CZ"/>
        </w:rPr>
        <w:t>kopii dokumentu prokazujícího schválení používání předmětného materiálu na železničních drahách v majetku České republiky, se kterým má v současné době právo hospodařit Správa železnic, státní organizace.</w:t>
      </w:r>
    </w:p>
    <w:p w14:paraId="0720B6A5" w14:textId="587BB390" w:rsidR="00AE4595" w:rsidRPr="00782A52" w:rsidRDefault="00AE4595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3F351793" w14:textId="64B1FEA6" w:rsidR="00AE4595" w:rsidRPr="00782A52" w:rsidRDefault="00AE4595" w:rsidP="00F4579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782A52">
        <w:rPr>
          <w:rFonts w:ascii="Verdana" w:eastAsia="Verdana" w:hAnsi="Verdana" w:cs="Times New Roman"/>
          <w:noProof/>
        </w:rPr>
        <w:t xml:space="preserve">součástí faktury je dodací list, protokol o předání a převzetí předmětu plnění </w:t>
      </w:r>
      <w:r w:rsidRPr="00782A52">
        <w:rPr>
          <w:rFonts w:ascii="Verdana" w:eastAsia="Verdana" w:hAnsi="Verdana" w:cs="Times New Roman"/>
          <w:noProof/>
        </w:rPr>
        <w:br/>
        <w:t xml:space="preserve">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</w:t>
      </w:r>
      <w:r w:rsidRPr="00782A52">
        <w:rPr>
          <w:rFonts w:ascii="Verdana" w:eastAsia="Verdana" w:hAnsi="Verdana" w:cs="Times New Roman"/>
          <w:noProof/>
        </w:rPr>
        <w:br/>
        <w:t>č. 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7777777" w:rsidR="00D85C5B" w:rsidRPr="001F5C7E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1F5C7E">
        <w:rPr>
          <w:rFonts w:eastAsia="Times New Roman"/>
          <w:lang w:eastAsia="cs-CZ"/>
        </w:rPr>
        <w:t>Záruka</w:t>
      </w:r>
    </w:p>
    <w:p w14:paraId="5D812CA2" w14:textId="492658E6" w:rsidR="00AE4595" w:rsidRPr="001F5C7E" w:rsidRDefault="00AE4595" w:rsidP="008C5881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</w:pPr>
      <w:r w:rsidRPr="001F5C7E">
        <w:t xml:space="preserve">Dodavatel poskytuje záruku za jakost v délce min. </w:t>
      </w:r>
      <w:r w:rsidR="008045F2" w:rsidRPr="001F5C7E">
        <w:t>36</w:t>
      </w:r>
      <w:r w:rsidRPr="001F5C7E">
        <w:t xml:space="preserve"> měsíců na celý předmět plnění</w:t>
      </w:r>
      <w:r w:rsidR="001F5C7E" w:rsidRPr="001F5C7E">
        <w:t xml:space="preserve">, a </w:t>
      </w:r>
      <w:r w:rsidR="001F5C7E" w:rsidRPr="001F5C7E">
        <w:lastRenderedPageBreak/>
        <w:t>to od data vložení do provozované koleje</w:t>
      </w:r>
      <w:r w:rsidR="001F5C7E">
        <w:t>, přičemž v</w:t>
      </w:r>
      <w:r w:rsidR="001F5C7E" w:rsidRPr="001F5C7E">
        <w:t>ložení bude provedeno nejpozději do 210 kalendářních dní od data dodání.</w:t>
      </w:r>
    </w:p>
    <w:p w14:paraId="6AD24D37" w14:textId="77777777" w:rsidR="00AE4595" w:rsidRDefault="00AE4595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20E92414" w14:textId="77777777" w:rsidR="00AE4595" w:rsidRPr="003B2F85" w:rsidRDefault="00AE4595" w:rsidP="00F45791">
      <w:pPr>
        <w:numPr>
          <w:ilvl w:val="1"/>
          <w:numId w:val="23"/>
        </w:numPr>
        <w:spacing w:after="0" w:line="240" w:lineRule="auto"/>
        <w:ind w:left="709" w:hanging="715"/>
        <w:contextualSpacing/>
        <w:jc w:val="both"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2B19D8BA" w14:textId="77777777" w:rsidR="00AE4595" w:rsidRPr="00E30A6F" w:rsidRDefault="00AE4595" w:rsidP="00F45791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  <w:rPr>
          <w:b/>
        </w:rPr>
      </w:pPr>
      <w:r w:rsidRPr="00E30A6F">
        <w:rPr>
          <w:b/>
        </w:rPr>
        <w:t>Správa železnic, státní organizace</w:t>
      </w:r>
    </w:p>
    <w:p w14:paraId="199C19A9" w14:textId="68871414" w:rsidR="00AE4595" w:rsidRPr="003B2F85" w:rsidRDefault="00AE4595" w:rsidP="00F45791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</w:pPr>
      <w:r w:rsidRPr="003B2F85">
        <w:t>se sídlem: Praha 1 - Nové Město, Dlážděná 1003/7, PSČ 110 00</w:t>
      </w:r>
    </w:p>
    <w:p w14:paraId="149123D1" w14:textId="3321748C" w:rsidR="00AE4595" w:rsidRPr="00E30A6F" w:rsidRDefault="00AE4595" w:rsidP="00F4579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eastAsia="Times New Roman" w:cs="Times New Roman"/>
          <w:bCs/>
          <w:lang w:eastAsia="cs-CZ"/>
        </w:rPr>
      </w:pPr>
      <w:r w:rsidRPr="00E30A6F">
        <w:rPr>
          <w:rFonts w:eastAsia="Times New Roman" w:cs="Times New Roman"/>
          <w:bCs/>
          <w:lang w:eastAsia="cs-CZ"/>
        </w:rPr>
        <w:t xml:space="preserve">IČ: 709 94 234, DIČ: CZ70994234    </w:t>
      </w:r>
    </w:p>
    <w:p w14:paraId="1F17BDFA" w14:textId="77777777" w:rsidR="00AE4595" w:rsidRPr="00E30A6F" w:rsidRDefault="00AE4595" w:rsidP="00F45791">
      <w:p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Verdana" w:hAnsi="Verdana" w:cstheme="minorHAnsi"/>
          <w:u w:val="single"/>
        </w:rPr>
      </w:pPr>
      <w:r w:rsidRPr="00E30A6F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CDFEA5F" w14:textId="77777777" w:rsidR="00AE4595" w:rsidRPr="00E30A6F" w:rsidRDefault="00AE4595" w:rsidP="00B53D3F">
      <w:pPr>
        <w:pStyle w:val="Odstavecseseznamem"/>
        <w:numPr>
          <w:ilvl w:val="0"/>
          <w:numId w:val="24"/>
        </w:numPr>
        <w:spacing w:after="0" w:line="240" w:lineRule="auto"/>
        <w:ind w:left="1276" w:hanging="357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E30A6F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E30A6F">
        <w:rPr>
          <w:rFonts w:ascii="Verdana" w:hAnsi="Verdana" w:cstheme="minorHAnsi"/>
        </w:rPr>
        <w:t>, nebo</w:t>
      </w:r>
    </w:p>
    <w:p w14:paraId="652F3472" w14:textId="77777777" w:rsidR="00AE4595" w:rsidRPr="00E30A6F" w:rsidRDefault="00AE4595" w:rsidP="00B53D3F">
      <w:pPr>
        <w:pStyle w:val="Odstavecseseznamem"/>
        <w:numPr>
          <w:ilvl w:val="0"/>
          <w:numId w:val="24"/>
        </w:numPr>
        <w:spacing w:after="0" w:line="240" w:lineRule="auto"/>
        <w:ind w:left="1276" w:hanging="357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E30A6F">
        <w:rPr>
          <w:rFonts w:ascii="Verdana" w:hAnsi="Verdana" w:cstheme="minorHAnsi"/>
        </w:rPr>
        <w:t>Uccchjm</w:t>
      </w:r>
      <w:proofErr w:type="spellEnd"/>
      <w:r w:rsidRPr="00E30A6F">
        <w:rPr>
          <w:rFonts w:ascii="Verdana" w:hAnsi="Verdana" w:cstheme="minorHAnsi"/>
        </w:rPr>
        <w:t>, nebo</w:t>
      </w:r>
    </w:p>
    <w:p w14:paraId="5EFBF605" w14:textId="77777777" w:rsidR="00AE4595" w:rsidRPr="00E30A6F" w:rsidRDefault="00AE4595" w:rsidP="00B53D3F">
      <w:pPr>
        <w:pStyle w:val="Odstavecseseznamem"/>
        <w:numPr>
          <w:ilvl w:val="0"/>
          <w:numId w:val="24"/>
        </w:numPr>
        <w:spacing w:after="0" w:line="240" w:lineRule="auto"/>
        <w:ind w:left="1276" w:hanging="357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E30A6F">
        <w:rPr>
          <w:rFonts w:ascii="Verdana" w:hAnsi="Verdana" w:cstheme="minorHAnsi"/>
        </w:rPr>
        <w:t>Pernera</w:t>
      </w:r>
      <w:proofErr w:type="spellEnd"/>
      <w:r w:rsidRPr="00E30A6F">
        <w:rPr>
          <w:rFonts w:ascii="Verdana" w:hAnsi="Verdana" w:cstheme="minorHAnsi"/>
        </w:rPr>
        <w:t xml:space="preserve"> 217, 530 02 Pardubice. </w:t>
      </w:r>
    </w:p>
    <w:p w14:paraId="6AF415A5" w14:textId="5F2D5049" w:rsidR="009146AF" w:rsidRDefault="00AE4595" w:rsidP="008C5881">
      <w:pPr>
        <w:spacing w:after="0" w:line="240" w:lineRule="auto"/>
        <w:ind w:left="709"/>
        <w:jc w:val="both"/>
        <w:rPr>
          <w:rFonts w:eastAsia="Times New Roman" w:cs="Times New Roman"/>
          <w:lang w:eastAsia="cs-CZ"/>
        </w:rPr>
      </w:pPr>
      <w:r w:rsidRPr="00E30A6F">
        <w:rPr>
          <w:rFonts w:ascii="Verdana" w:hAnsi="Verdana" w:cstheme="minorHAnsi"/>
        </w:rPr>
        <w:t>Kupující upřednostňuje příjem těchto daňových dokladů v digitální podobě ve formátu PDF/A, ISO 19005, min. verze PDF/A-</w:t>
      </w:r>
      <w:proofErr w:type="gramStart"/>
      <w:r w:rsidRPr="00E30A6F">
        <w:rPr>
          <w:rFonts w:ascii="Verdana" w:hAnsi="Verdana" w:cstheme="minorHAnsi"/>
        </w:rPr>
        <w:t>2b</w:t>
      </w:r>
      <w:proofErr w:type="gramEnd"/>
      <w:r w:rsidRPr="00E30A6F">
        <w:rPr>
          <w:rFonts w:ascii="Verdana" w:hAnsi="Verdana" w:cstheme="minorHAnsi"/>
        </w:rPr>
        <w:t>, na výše uvedené emailové adrese.</w:t>
      </w:r>
    </w:p>
    <w:p w14:paraId="2097C982" w14:textId="77777777" w:rsidR="00A33BB9" w:rsidRDefault="00A33BB9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6569CDDB" w:rsidR="00A33BB9" w:rsidRPr="009F352E" w:rsidRDefault="00A33BB9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highlight w:val="yellow"/>
          <w:lang w:eastAsia="cs-CZ"/>
        </w:rPr>
      </w:pPr>
      <w:r w:rsidRPr="009F352E">
        <w:rPr>
          <w:highlight w:val="yellow"/>
          <w:lang w:eastAsia="cs-CZ"/>
        </w:rPr>
        <w:t xml:space="preserve">Na provedení </w:t>
      </w:r>
      <w:r w:rsidR="009146AF" w:rsidRPr="009F352E">
        <w:rPr>
          <w:highlight w:val="yellow"/>
          <w:lang w:eastAsia="cs-CZ"/>
        </w:rPr>
        <w:t>Koupě</w:t>
      </w:r>
      <w:r w:rsidRPr="009F352E">
        <w:rPr>
          <w:highlight w:val="yellow"/>
          <w:lang w:eastAsia="cs-CZ"/>
        </w:rPr>
        <w:t xml:space="preserve"> se budou podílet poddodavatelé uvedení v příloze </w:t>
      </w:r>
      <w:r w:rsidR="00945170" w:rsidRPr="009F352E">
        <w:rPr>
          <w:highlight w:val="yellow"/>
          <w:lang w:eastAsia="cs-CZ"/>
        </w:rPr>
        <w:t>č. 3</w:t>
      </w:r>
      <w:r w:rsidRPr="009F352E">
        <w:rPr>
          <w:highlight w:val="yellow"/>
          <w:lang w:eastAsia="cs-CZ"/>
        </w:rPr>
        <w:t xml:space="preserve"> této Smlouvy. </w:t>
      </w:r>
    </w:p>
    <w:p w14:paraId="5CD37451" w14:textId="686DED77" w:rsidR="00A33BB9" w:rsidRPr="008D0D38" w:rsidRDefault="00A33BB9" w:rsidP="00B53D3F">
      <w:pPr>
        <w:pStyle w:val="Odstavecseseznamem"/>
        <w:spacing w:after="0" w:line="240" w:lineRule="auto"/>
        <w:ind w:left="709"/>
        <w:jc w:val="both"/>
        <w:rPr>
          <w:lang w:eastAsia="cs-CZ"/>
        </w:rPr>
      </w:pPr>
      <w:r w:rsidRPr="009F352E">
        <w:rPr>
          <w:highlight w:val="yellow"/>
          <w:lang w:eastAsia="cs-CZ"/>
        </w:rPr>
        <w:t xml:space="preserve">(jestliže se na provedení nebudou podílet poddodavatelé, dodavatel do bodu </w:t>
      </w:r>
      <w:r w:rsidR="001165AF" w:rsidRPr="009F352E">
        <w:rPr>
          <w:highlight w:val="yellow"/>
          <w:lang w:eastAsia="cs-CZ"/>
        </w:rPr>
        <w:t>8</w:t>
      </w:r>
      <w:r w:rsidRPr="009F352E">
        <w:rPr>
          <w:highlight w:val="yellow"/>
          <w:lang w:eastAsia="cs-CZ"/>
        </w:rPr>
        <w:t xml:space="preserve">.1 napíše: „Na provedení </w:t>
      </w:r>
      <w:r w:rsidR="009146AF" w:rsidRPr="009F352E">
        <w:rPr>
          <w:highlight w:val="yellow"/>
          <w:lang w:eastAsia="cs-CZ"/>
        </w:rPr>
        <w:t>Koupě</w:t>
      </w:r>
      <w:r w:rsidRPr="009F352E">
        <w:rPr>
          <w:highlight w:val="yellow"/>
          <w:lang w:eastAsia="cs-CZ"/>
        </w:rPr>
        <w:t xml:space="preserve"> se nebudou podílet poddodavatelé a vymaže tuto položku ze seznamu příloh).</w:t>
      </w:r>
    </w:p>
    <w:p w14:paraId="37222C0E" w14:textId="6C4F4FFB" w:rsidR="00A33BB9" w:rsidRPr="008D0D38" w:rsidRDefault="00A33BB9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8D0D38">
        <w:rPr>
          <w:lang w:eastAsia="cs-CZ"/>
        </w:rPr>
        <w:t xml:space="preserve">Na provedení </w:t>
      </w:r>
      <w:r w:rsidR="009146AF" w:rsidRPr="008D0D38">
        <w:rPr>
          <w:lang w:eastAsia="cs-CZ"/>
        </w:rPr>
        <w:t>Koupě</w:t>
      </w:r>
      <w:r w:rsidRPr="008D0D38">
        <w:rPr>
          <w:lang w:eastAsia="cs-CZ"/>
        </w:rPr>
        <w:t xml:space="preserve"> se budou podílet členové realizačního týmu uvedení v</w:t>
      </w:r>
      <w:r w:rsidR="003F720E" w:rsidRPr="008D0D38">
        <w:rPr>
          <w:lang w:eastAsia="cs-CZ"/>
        </w:rPr>
        <w:t xml:space="preserve"> bo</w:t>
      </w:r>
      <w:r w:rsidR="008D0D38" w:rsidRPr="008D0D38">
        <w:rPr>
          <w:lang w:eastAsia="cs-CZ"/>
        </w:rPr>
        <w:t xml:space="preserve">dě 9.2 </w:t>
      </w:r>
      <w:r w:rsidRPr="008D0D38">
        <w:rPr>
          <w:lang w:eastAsia="cs-CZ"/>
        </w:rPr>
        <w:t>Smlouvy.</w:t>
      </w:r>
    </w:p>
    <w:p w14:paraId="1F2AAA3A" w14:textId="4B422BE0" w:rsidR="00A33BB9" w:rsidRPr="00945170" w:rsidRDefault="009146AF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945170">
        <w:rPr>
          <w:lang w:eastAsia="cs-CZ"/>
        </w:rPr>
        <w:t>Prodávající</w:t>
      </w:r>
      <w:r w:rsidR="00A33BB9" w:rsidRPr="00945170">
        <w:rPr>
          <w:lang w:eastAsia="cs-CZ"/>
        </w:rPr>
        <w:t xml:space="preserve"> může v průběhu plnění nahradit některé osoby z osob, uvedených v seznamu realizačního týmu dle </w:t>
      </w:r>
      <w:r w:rsidR="00945170" w:rsidRPr="00945170">
        <w:rPr>
          <w:lang w:eastAsia="cs-CZ"/>
        </w:rPr>
        <w:t>bodu 9.2</w:t>
      </w:r>
      <w:r w:rsidR="00A33BB9" w:rsidRPr="00945170">
        <w:rPr>
          <w:lang w:eastAsia="cs-CZ"/>
        </w:rPr>
        <w:t xml:space="preserve"> této Smlouvy,</w:t>
      </w:r>
      <w:r w:rsidRPr="00945170">
        <w:rPr>
          <w:lang w:eastAsia="cs-CZ"/>
        </w:rPr>
        <w:t xml:space="preserve"> pouze po předchozím souhlasu Kupujícího </w:t>
      </w:r>
      <w:r w:rsidR="00A33BB9" w:rsidRPr="00945170">
        <w:rPr>
          <w:lang w:eastAsia="cs-CZ"/>
        </w:rPr>
        <w:t xml:space="preserve">na základě písemné žádosti </w:t>
      </w:r>
      <w:r w:rsidRPr="00945170">
        <w:rPr>
          <w:lang w:eastAsia="cs-CZ"/>
        </w:rPr>
        <w:t>Prodávajícího</w:t>
      </w:r>
      <w:r w:rsidR="00A33BB9" w:rsidRPr="00945170">
        <w:rPr>
          <w:lang w:eastAsia="cs-CZ"/>
        </w:rPr>
        <w:t xml:space="preserve">. V případě, že </w:t>
      </w:r>
      <w:r w:rsidRPr="00945170">
        <w:rPr>
          <w:lang w:eastAsia="cs-CZ"/>
        </w:rPr>
        <w:t>Prodávající</w:t>
      </w:r>
      <w:r w:rsidR="00A33BB9" w:rsidRPr="00945170">
        <w:rPr>
          <w:lang w:eastAsia="cs-CZ"/>
        </w:rPr>
        <w:t xml:space="preserve"> požádá o změnu některých členů realizačního týmu uvedeného v</w:t>
      </w:r>
      <w:r w:rsidR="00945170" w:rsidRPr="00945170">
        <w:rPr>
          <w:lang w:eastAsia="cs-CZ"/>
        </w:rPr>
        <w:t> bodě 9.2</w:t>
      </w:r>
      <w:r w:rsidR="00A33BB9" w:rsidRPr="00945170">
        <w:rPr>
          <w:lang w:eastAsia="cs-CZ"/>
        </w:rPr>
        <w:t xml:space="preserve"> této Smlouvy, musí tato osoba, splňovat kvalifikaci požadovanou </w:t>
      </w:r>
      <w:r w:rsidR="003D06BE" w:rsidRPr="00945170">
        <w:rPr>
          <w:lang w:eastAsia="cs-CZ"/>
        </w:rPr>
        <w:t>ve Veřejné zakázce</w:t>
      </w:r>
      <w:r w:rsidR="00A33BB9" w:rsidRPr="00945170">
        <w:rPr>
          <w:lang w:eastAsia="cs-CZ"/>
        </w:rPr>
        <w:t xml:space="preserve">. Změna osoby nepodléhá povinnosti uzavřít dodatek ke Smlouvě a proběhne na základě písemného souhlasu </w:t>
      </w:r>
      <w:r w:rsidRPr="00945170">
        <w:rPr>
          <w:lang w:eastAsia="cs-CZ"/>
        </w:rPr>
        <w:t>Kupujícího</w:t>
      </w:r>
      <w:r w:rsidR="00A33BB9" w:rsidRPr="00945170">
        <w:rPr>
          <w:lang w:eastAsia="cs-CZ"/>
        </w:rPr>
        <w:t xml:space="preserve"> s touto změnou.</w:t>
      </w:r>
    </w:p>
    <w:p w14:paraId="3BD40581" w14:textId="77777777" w:rsidR="00D85C5B" w:rsidRPr="000C5DA0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E07F03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07F03">
        <w:rPr>
          <w:lang w:eastAsia="cs-CZ"/>
        </w:rPr>
        <w:t xml:space="preserve">Kontaktními osobami </w:t>
      </w:r>
      <w:r w:rsidR="008B1447" w:rsidRPr="00E07F03">
        <w:rPr>
          <w:lang w:eastAsia="cs-CZ"/>
        </w:rPr>
        <w:t>Sml</w:t>
      </w:r>
      <w:r w:rsidRPr="00E07F03">
        <w:rPr>
          <w:lang w:eastAsia="cs-CZ"/>
        </w:rPr>
        <w:t>uvních stran jsou</w:t>
      </w:r>
    </w:p>
    <w:p w14:paraId="00C08C55" w14:textId="77777777" w:rsidR="009E574A" w:rsidRPr="00E07F03" w:rsidRDefault="00D85C5B" w:rsidP="00B53D3F">
      <w:pPr>
        <w:pStyle w:val="Odstavecseseznamem"/>
        <w:spacing w:after="0" w:line="240" w:lineRule="auto"/>
        <w:ind w:left="851"/>
        <w:jc w:val="both"/>
        <w:rPr>
          <w:rFonts w:eastAsia="Times New Roman" w:cs="Times New Roman"/>
          <w:lang w:eastAsia="cs-CZ"/>
        </w:rPr>
      </w:pPr>
      <w:r w:rsidRPr="00E07F03">
        <w:rPr>
          <w:rFonts w:eastAsia="Times New Roman" w:cs="Times New Roman"/>
          <w:lang w:eastAsia="cs-CZ"/>
        </w:rPr>
        <w:t>za Kupujícího</w:t>
      </w:r>
    </w:p>
    <w:p w14:paraId="04A8EF3F" w14:textId="3989C311" w:rsidR="00D85C5B" w:rsidRPr="00E07F03" w:rsidRDefault="009E574A" w:rsidP="00B53D3F">
      <w:pPr>
        <w:pStyle w:val="Odstavecseseznamem"/>
        <w:numPr>
          <w:ilvl w:val="0"/>
          <w:numId w:val="26"/>
        </w:numPr>
        <w:spacing w:after="0" w:line="240" w:lineRule="auto"/>
        <w:ind w:left="1134" w:hanging="207"/>
        <w:jc w:val="both"/>
        <w:rPr>
          <w:rFonts w:eastAsia="Times New Roman" w:cs="Times New Roman"/>
          <w:lang w:eastAsia="cs-CZ"/>
        </w:rPr>
      </w:pPr>
      <w:r w:rsidRPr="00E07F03">
        <w:rPr>
          <w:rFonts w:eastAsia="Times New Roman" w:cs="Times New Roman"/>
          <w:lang w:eastAsia="cs-CZ"/>
        </w:rPr>
        <w:t>ve věcech smluvních a obchodních:</w:t>
      </w:r>
      <w:r w:rsidR="00D85C5B" w:rsidRPr="00E07F03">
        <w:rPr>
          <w:rFonts w:eastAsia="Times New Roman" w:cs="Times New Roman"/>
          <w:lang w:eastAsia="cs-CZ"/>
        </w:rPr>
        <w:t xml:space="preserve"> </w:t>
      </w:r>
      <w:r w:rsidRPr="00E07F03">
        <w:rPr>
          <w:rFonts w:eastAsia="Times New Roman" w:cs="Times New Roman"/>
          <w:lang w:eastAsia="cs-CZ"/>
        </w:rPr>
        <w:t xml:space="preserve">Ing. Pavel </w:t>
      </w:r>
      <w:proofErr w:type="gramStart"/>
      <w:r w:rsidRPr="00E07F03">
        <w:rPr>
          <w:rFonts w:eastAsia="Times New Roman" w:cs="Times New Roman"/>
          <w:lang w:eastAsia="cs-CZ"/>
        </w:rPr>
        <w:t>Stejskal</w:t>
      </w:r>
      <w:r w:rsidR="00D85C5B" w:rsidRPr="00E07F03">
        <w:rPr>
          <w:rFonts w:eastAsia="Times New Roman" w:cs="Times New Roman"/>
          <w:lang w:eastAsia="cs-CZ"/>
        </w:rPr>
        <w:t xml:space="preserve"> ,</w:t>
      </w:r>
      <w:proofErr w:type="gramEnd"/>
      <w:r w:rsidR="00D85C5B" w:rsidRPr="00E07F03">
        <w:rPr>
          <w:rFonts w:eastAsia="Times New Roman" w:cs="Times New Roman"/>
          <w:lang w:eastAsia="cs-CZ"/>
        </w:rPr>
        <w:t xml:space="preserve"> tel. </w:t>
      </w:r>
      <w:r w:rsidRPr="00E07F03">
        <w:rPr>
          <w:rFonts w:eastAsia="Times New Roman" w:cs="Times New Roman"/>
          <w:lang w:eastAsia="cs-CZ"/>
        </w:rPr>
        <w:t>601 367 927</w:t>
      </w:r>
      <w:r w:rsidR="00D85C5B" w:rsidRPr="00E07F03">
        <w:rPr>
          <w:rFonts w:eastAsia="Times New Roman" w:cs="Times New Roman"/>
          <w:lang w:eastAsia="cs-CZ"/>
        </w:rPr>
        <w:t xml:space="preserve">, email </w:t>
      </w:r>
      <w:hyperlink r:id="rId12" w:history="1">
        <w:r w:rsidRPr="00E07F03">
          <w:rPr>
            <w:rStyle w:val="Hypertextovodkaz"/>
            <w:rFonts w:eastAsia="Times New Roman" w:cs="Times New Roman"/>
            <w:lang w:eastAsia="cs-CZ"/>
          </w:rPr>
          <w:t>StejskalPa@spravazeleznic.cz</w:t>
        </w:r>
      </w:hyperlink>
      <w:r w:rsidR="00D85C5B" w:rsidRPr="00E07F03">
        <w:rPr>
          <w:rFonts w:eastAsia="Times New Roman" w:cs="Times New Roman"/>
          <w:lang w:eastAsia="cs-CZ"/>
        </w:rPr>
        <w:t>,</w:t>
      </w:r>
    </w:p>
    <w:p w14:paraId="159825DC" w14:textId="14C01F94" w:rsidR="009E574A" w:rsidRPr="00E07F03" w:rsidRDefault="009E574A" w:rsidP="00B53D3F">
      <w:pPr>
        <w:pStyle w:val="Odstavecseseznamem"/>
        <w:numPr>
          <w:ilvl w:val="0"/>
          <w:numId w:val="27"/>
        </w:numPr>
        <w:spacing w:after="0" w:line="240" w:lineRule="auto"/>
        <w:ind w:left="1134" w:hanging="218"/>
        <w:jc w:val="both"/>
        <w:rPr>
          <w:rFonts w:eastAsia="Times New Roman" w:cs="Times New Roman"/>
          <w:lang w:eastAsia="cs-CZ"/>
        </w:rPr>
      </w:pPr>
      <w:r w:rsidRPr="00E07F03">
        <w:rPr>
          <w:rFonts w:eastAsia="Times New Roman" w:cs="Times New Roman"/>
          <w:lang w:eastAsia="cs-CZ"/>
        </w:rPr>
        <w:t>ve věcech technických:</w:t>
      </w:r>
      <w:r w:rsidR="00CC52A1" w:rsidRPr="00E07F03">
        <w:rPr>
          <w:rFonts w:eastAsia="Times New Roman" w:cs="Times New Roman"/>
          <w:lang w:eastAsia="cs-CZ"/>
        </w:rPr>
        <w:tab/>
        <w:t>p. Tomáš Dědek, tel. 725 721 225</w:t>
      </w:r>
    </w:p>
    <w:p w14:paraId="160BE81A" w14:textId="615A9BB7" w:rsidR="00CC52A1" w:rsidRPr="00E07F03" w:rsidRDefault="00CC52A1" w:rsidP="00B53D3F">
      <w:pPr>
        <w:pStyle w:val="Odstavecseseznamem"/>
        <w:spacing w:after="0" w:line="240" w:lineRule="auto"/>
        <w:ind w:left="3540"/>
        <w:jc w:val="both"/>
        <w:rPr>
          <w:rFonts w:eastAsia="Times New Roman" w:cs="Times New Roman"/>
          <w:lang w:eastAsia="cs-CZ"/>
        </w:rPr>
      </w:pPr>
      <w:r w:rsidRPr="00E07F03">
        <w:rPr>
          <w:rFonts w:eastAsia="Times New Roman" w:cs="Times New Roman"/>
          <w:lang w:eastAsia="cs-CZ"/>
        </w:rPr>
        <w:t>p. Lukáš Kot, tel. 725 547 707</w:t>
      </w:r>
    </w:p>
    <w:p w14:paraId="1EFC82AD" w14:textId="77777777" w:rsidR="009E574A" w:rsidRPr="00E30A6F" w:rsidRDefault="009E574A" w:rsidP="00B53D3F">
      <w:pPr>
        <w:pStyle w:val="Odstavecseseznamem"/>
        <w:spacing w:after="0" w:line="240" w:lineRule="auto"/>
        <w:ind w:left="993"/>
        <w:jc w:val="both"/>
        <w:rPr>
          <w:rFonts w:eastAsia="Times New Roman" w:cs="Times New Roman"/>
          <w:highlight w:val="yellow"/>
          <w:lang w:eastAsia="cs-CZ"/>
        </w:rPr>
      </w:pPr>
    </w:p>
    <w:p w14:paraId="3D0427FD" w14:textId="7A8665BA" w:rsidR="000C7622" w:rsidRPr="00E07F03" w:rsidRDefault="00D85C5B" w:rsidP="00B53D3F">
      <w:pPr>
        <w:pStyle w:val="Odstavecseseznamem"/>
        <w:spacing w:after="0" w:line="240" w:lineRule="auto"/>
        <w:ind w:left="851"/>
        <w:jc w:val="both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za Prodávajícího</w:t>
      </w:r>
    </w:p>
    <w:p w14:paraId="4DF7F2EC" w14:textId="231CB0CD" w:rsidR="000C7622" w:rsidRPr="00E07F03" w:rsidRDefault="000C7622" w:rsidP="00B53D3F">
      <w:pPr>
        <w:pStyle w:val="Odstavecseseznamem"/>
        <w:numPr>
          <w:ilvl w:val="0"/>
          <w:numId w:val="26"/>
        </w:numPr>
        <w:spacing w:after="0" w:line="240" w:lineRule="auto"/>
        <w:ind w:left="1134" w:hanging="207"/>
        <w:jc w:val="both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 xml:space="preserve">ve věcech smluvních a obchodních: </w:t>
      </w:r>
      <w:r w:rsidRPr="00E07F03">
        <w:rPr>
          <w:rFonts w:ascii="Verdana" w:hAnsi="Verdana"/>
          <w:highlight w:val="yellow"/>
        </w:rPr>
        <w:t>[DOPLNÍ PRODÁVAJÍCÍ]</w:t>
      </w:r>
    </w:p>
    <w:p w14:paraId="3C2F25B2" w14:textId="7EC782FC" w:rsidR="000C7622" w:rsidRPr="00E07F03" w:rsidRDefault="000C7622" w:rsidP="00B53D3F">
      <w:pPr>
        <w:pStyle w:val="Odstavecseseznamem"/>
        <w:numPr>
          <w:ilvl w:val="0"/>
          <w:numId w:val="27"/>
        </w:numPr>
        <w:spacing w:after="0" w:line="240" w:lineRule="auto"/>
        <w:ind w:left="1134" w:hanging="218"/>
        <w:jc w:val="both"/>
        <w:rPr>
          <w:rFonts w:eastAsia="Times New Roman" w:cs="Times New Roman"/>
          <w:highlight w:val="yellow"/>
          <w:lang w:eastAsia="cs-CZ"/>
        </w:rPr>
      </w:pPr>
      <w:r w:rsidRPr="00E07F03">
        <w:rPr>
          <w:rFonts w:eastAsia="Times New Roman" w:cs="Times New Roman"/>
          <w:highlight w:val="yellow"/>
          <w:lang w:eastAsia="cs-CZ"/>
        </w:rPr>
        <w:t>ve věcech technických:</w:t>
      </w:r>
      <w:r w:rsidRPr="00E07F03">
        <w:rPr>
          <w:rFonts w:eastAsia="Times New Roman" w:cs="Times New Roman"/>
          <w:highlight w:val="yellow"/>
          <w:lang w:eastAsia="cs-CZ"/>
        </w:rPr>
        <w:tab/>
      </w:r>
      <w:r w:rsidRPr="00E07F03">
        <w:rPr>
          <w:rFonts w:ascii="Verdana" w:hAnsi="Verdana"/>
          <w:highlight w:val="yellow"/>
        </w:rPr>
        <w:t>[DOPLNÍ PRODÁVAJÍCÍ]</w:t>
      </w:r>
    </w:p>
    <w:p w14:paraId="64F7C264" w14:textId="63D31816" w:rsidR="003F720E" w:rsidRDefault="000C7622" w:rsidP="00B53D3F">
      <w:pPr>
        <w:pStyle w:val="Odstavecseseznamem"/>
        <w:spacing w:after="0" w:line="240" w:lineRule="auto"/>
        <w:ind w:left="3538"/>
        <w:contextualSpacing w:val="0"/>
        <w:jc w:val="both"/>
        <w:rPr>
          <w:rFonts w:ascii="Verdana" w:hAnsi="Verdana"/>
          <w:highlight w:val="yellow"/>
        </w:rPr>
      </w:pPr>
      <w:r w:rsidRPr="00E07F03">
        <w:rPr>
          <w:rFonts w:ascii="Verdana" w:hAnsi="Verdana"/>
          <w:highlight w:val="yellow"/>
        </w:rPr>
        <w:t>[DOPLNÍ PRODÁVAJÍCÍ]</w:t>
      </w:r>
    </w:p>
    <w:p w14:paraId="344FFB6E" w14:textId="77777777" w:rsidR="00B53D3F" w:rsidRPr="00BA07DC" w:rsidRDefault="00B53D3F" w:rsidP="00B53D3F">
      <w:pPr>
        <w:pStyle w:val="Odstavecseseznamem"/>
        <w:spacing w:after="0" w:line="240" w:lineRule="auto"/>
        <w:ind w:left="3538"/>
        <w:contextualSpacing w:val="0"/>
        <w:jc w:val="both"/>
        <w:rPr>
          <w:rFonts w:eastAsia="Times New Roman" w:cs="Times New Roman"/>
          <w:highlight w:val="yellow"/>
          <w:lang w:eastAsia="cs-CZ"/>
        </w:rPr>
      </w:pPr>
    </w:p>
    <w:p w14:paraId="6C470B75" w14:textId="31B4D548" w:rsidR="00D85C5B" w:rsidRPr="00E30A6F" w:rsidRDefault="008B1447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 strany berou na vědomí, že tato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uvních stran, předmětu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ouvy, jeho ceně či hodnotě a datu uzavření této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>ouvy.</w:t>
      </w:r>
    </w:p>
    <w:p w14:paraId="7C8F7293" w14:textId="1062B3E7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Zaslání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správci registru smluv k uveřejnění v registru smluv zajišťuje obvykle Kupující. Nebude-li 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zaslána k uveřejnění a/nebo uveřejněna prostřednictvím registru smluv, není žádná ze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uvních stran oprávněna požadovat po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strany výslovně prohlašují, že údaje a další skutečnosti uvedené v 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ouvě, vyjma částí označených ve smyslu následujícího odstavce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Jestliže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označí za své obchodní tajemství část obsahu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která v důsledku toho bude pro účely uveřejnění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 v registru</w:t>
      </w:r>
      <w:r w:rsidR="008B1447" w:rsidRPr="00E30A6F">
        <w:rPr>
          <w:lang w:eastAsia="cs-CZ"/>
        </w:rPr>
        <w:t xml:space="preserve"> smluv znečitelněna, nese tato S</w:t>
      </w:r>
      <w:r w:rsidRPr="00E30A6F">
        <w:rPr>
          <w:lang w:eastAsia="cs-CZ"/>
        </w:rPr>
        <w:t xml:space="preserve">mluvní strana odpovědnost, pokud by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ouvu v registru smluv uveřejnila. S částmi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které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neoznačí za své obchodní tajemství před uzavřením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strany Kupujícímu obsahujícího přesnou identifikaci dotčených částí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včetně odůvodnění, proč jsou za obchodní tajemství považovány.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E30A6F" w:rsidRDefault="000C5DA0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V případě poskytnutí osobních údajů v rámci plnění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uvního vztahu se </w:t>
      </w:r>
      <w:r w:rsidR="00823FBB" w:rsidRPr="00E30A6F">
        <w:rPr>
          <w:lang w:eastAsia="cs-CZ"/>
        </w:rPr>
        <w:t>Prodávající</w:t>
      </w:r>
      <w:r w:rsidRPr="00E30A6F">
        <w:rPr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E30A6F">
        <w:rPr>
          <w:lang w:eastAsia="cs-CZ"/>
        </w:rPr>
        <w:t>Prodávajícího</w:t>
      </w:r>
      <w:r w:rsidRPr="00E30A6F">
        <w:rPr>
          <w:lang w:eastAsia="cs-CZ"/>
        </w:rPr>
        <w:t xml:space="preserve"> vztahují a plnění těchto povinností na vyžádání doložit </w:t>
      </w:r>
      <w:r w:rsidR="00823FBB" w:rsidRPr="00E30A6F">
        <w:rPr>
          <w:lang w:eastAsia="cs-CZ"/>
        </w:rPr>
        <w:t>Kupujícímu</w:t>
      </w:r>
      <w:r w:rsidRPr="00E30A6F">
        <w:rPr>
          <w:lang w:eastAsia="cs-CZ"/>
        </w:rPr>
        <w:t>.</w:t>
      </w:r>
    </w:p>
    <w:p w14:paraId="2A72F1F1" w14:textId="387A36C1" w:rsidR="009D448B" w:rsidRPr="0023372A" w:rsidRDefault="009D448B" w:rsidP="00F45791">
      <w:pPr>
        <w:pStyle w:val="Nadpis1"/>
        <w:numPr>
          <w:ilvl w:val="0"/>
          <w:numId w:val="23"/>
        </w:numPr>
        <w:jc w:val="both"/>
      </w:pPr>
      <w:r w:rsidRPr="0023372A">
        <w:t xml:space="preserve">Střet zájmů, povinnosti </w:t>
      </w:r>
      <w:r w:rsidR="00253B76">
        <w:t>Dodavatele</w:t>
      </w:r>
      <w:r w:rsidRPr="0023372A">
        <w:t xml:space="preserve"> v souvislosti s MEZINÁRODNÍMI SANKCEMI</w:t>
      </w:r>
    </w:p>
    <w:p w14:paraId="16B869B8" w14:textId="11475375" w:rsidR="009D448B" w:rsidRPr="0029677D" w:rsidRDefault="004413AA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E30A6F">
        <w:rPr>
          <w:rFonts w:eastAsia="Calibri"/>
        </w:rPr>
        <w:t>Dodavatel</w:t>
      </w:r>
      <w:r w:rsidR="009D448B" w:rsidRPr="0073792E">
        <w:t xml:space="preserve"> prohlašuje, že není obchodní společností, ve které ve</w:t>
      </w:r>
      <w:r w:rsidR="009D448B">
        <w:t xml:space="preserve">řejný funkcionář uvedený v </w:t>
      </w:r>
      <w:proofErr w:type="spellStart"/>
      <w:r w:rsidR="009D448B">
        <w:t>ust</w:t>
      </w:r>
      <w:proofErr w:type="spellEnd"/>
      <w:r w:rsidR="009D448B">
        <w:t>.</w:t>
      </w:r>
      <w:r w:rsidR="009D448B" w:rsidRPr="0029677D">
        <w:t xml:space="preserve"> § 2 odst. 1 písm. c) zákona č. 159/2006 Sb., o střetu zájmů, ve znění pozdějších předpisů (dále jen </w:t>
      </w:r>
      <w:r w:rsidR="009D448B" w:rsidRPr="00E30A6F">
        <w:rPr>
          <w:b/>
        </w:rPr>
        <w:t>„Zákon o střetu zájmů“</w:t>
      </w:r>
      <w:r w:rsidR="009D448B"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9D448B" w:rsidRPr="0029677D">
        <w:t>ust</w:t>
      </w:r>
      <w:proofErr w:type="spellEnd"/>
      <w:r w:rsidR="009D448B" w:rsidRPr="0029677D">
        <w:t>. § 2 odst. 1 písm. c) Zákona o střetu zájmů nebo jím ovládaná osoba vlastní podíl představující alespoň 25 % účasti společníka v obchodní společnosti.</w:t>
      </w:r>
    </w:p>
    <w:p w14:paraId="3BBC700A" w14:textId="4ED47835" w:rsidR="009D448B" w:rsidRPr="0029677D" w:rsidRDefault="004413AA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>
        <w:t>Dodavatel</w:t>
      </w:r>
      <w:r w:rsidR="009D448B" w:rsidRPr="0029677D">
        <w:t xml:space="preserve"> prohlašuje, že on, ani žádný z jeho poddodavatelů nebo jiných osob, jejichž způsobilost byla využita ve smyslu evropských směrnic o zadávání veřejných zakázek, nejsou osobami</w:t>
      </w:r>
      <w:r w:rsidR="009D448B">
        <w:t>, na které se vztahuje zákaz zadání veřejné zakázky, pokud je to v rozporu s mezinárodními sankcemi podle zákona upravujícího provádění mezinárodních sankcí; právní úprava dle § 48a ZZVZ se použije analogicky.</w:t>
      </w:r>
    </w:p>
    <w:p w14:paraId="47231250" w14:textId="6C8833C3" w:rsidR="009D448B" w:rsidRPr="0029677D" w:rsidRDefault="009D448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29677D">
        <w:t xml:space="preserve">Je-li </w:t>
      </w:r>
      <w:r w:rsidR="004413AA">
        <w:t>Dodavatelem</w:t>
      </w:r>
      <w:r w:rsidRPr="0029677D">
        <w:t xml:space="preserve"> sdružení více osob, platí podmínky dle </w:t>
      </w:r>
      <w:r w:rsidRPr="00AD3B5E">
        <w:t xml:space="preserve">odstavce </w:t>
      </w:r>
      <w:r w:rsidR="004468A2" w:rsidRPr="00AD3B5E">
        <w:t>10</w:t>
      </w:r>
      <w:r w:rsidRPr="00AD3B5E">
        <w:t xml:space="preserve">.1 a </w:t>
      </w:r>
      <w:r w:rsidR="004468A2" w:rsidRPr="00AD3B5E">
        <w:t>10</w:t>
      </w:r>
      <w:r w:rsidRPr="00AD3B5E">
        <w:t>.2 této</w:t>
      </w:r>
      <w:r w:rsidRPr="0029677D">
        <w:t xml:space="preserve"> Smlouvy také jednotlivě pro všechny osoby v rámci </w:t>
      </w:r>
      <w:r w:rsidR="004468A2">
        <w:t>Dodavatele</w:t>
      </w:r>
      <w:r w:rsidRPr="0029677D">
        <w:t xml:space="preserve"> sdružené a to bez ohledu na právní formu tohoto sdružení.</w:t>
      </w:r>
    </w:p>
    <w:p w14:paraId="2782695F" w14:textId="7B1585F7" w:rsidR="009D448B" w:rsidRPr="0029677D" w:rsidRDefault="009D448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29677D">
        <w:t xml:space="preserve">Přestane-li </w:t>
      </w:r>
      <w:r w:rsidR="004413AA">
        <w:t>Dodavatel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4413AA">
        <w:t>Kupujícímu</w:t>
      </w:r>
      <w:r w:rsidRPr="0029677D">
        <w:t>.</w:t>
      </w:r>
    </w:p>
    <w:p w14:paraId="511120FA" w14:textId="65C33515" w:rsidR="009D448B" w:rsidRPr="0029677D" w:rsidRDefault="004413AA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>
        <w:t>Dodavatel</w:t>
      </w:r>
      <w:r w:rsidR="009D448B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192AEAE4" w14:textId="2B9EA6E8" w:rsidR="009D448B" w:rsidRPr="0029677D" w:rsidRDefault="004413AA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>
        <w:t>Dodavatel</w:t>
      </w:r>
      <w:r w:rsidR="009D448B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</w:t>
      </w:r>
      <w:r w:rsidR="009D448B">
        <w:t>s</w:t>
      </w:r>
      <w:r w:rsidR="009D448B" w:rsidRPr="0029677D">
        <w:t>ankčních seznamech, nebo v jejich prospěch.</w:t>
      </w:r>
    </w:p>
    <w:p w14:paraId="4692DB68" w14:textId="7B0A0012" w:rsidR="009D448B" w:rsidRPr="009D448B" w:rsidRDefault="009D448B" w:rsidP="008C5881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29677D">
        <w:t xml:space="preserve">Ukáží-li se prohlášení </w:t>
      </w:r>
      <w:r w:rsidR="004413AA" w:rsidRPr="00AD3B5E">
        <w:t>Dodavatele</w:t>
      </w:r>
      <w:r w:rsidRPr="00AD3B5E">
        <w:t xml:space="preserve"> dle odstavce </w:t>
      </w:r>
      <w:r w:rsidR="004468A2" w:rsidRPr="00AD3B5E">
        <w:t>10</w:t>
      </w:r>
      <w:r w:rsidRPr="00AD3B5E">
        <w:t xml:space="preserve">.1 a </w:t>
      </w:r>
      <w:r w:rsidR="004468A2" w:rsidRPr="00AD3B5E">
        <w:t>10</w:t>
      </w:r>
      <w:r w:rsidRPr="00AD3B5E">
        <w:t xml:space="preserve">.2 této Smlouvy jako nepravdivá nebo poruší-li </w:t>
      </w:r>
      <w:r w:rsidR="004413AA" w:rsidRPr="00AD3B5E">
        <w:t>Dodavatel</w:t>
      </w:r>
      <w:r w:rsidRPr="00AD3B5E">
        <w:t xml:space="preserve"> svou oznamovací povinnost dle odstavce </w:t>
      </w:r>
      <w:r w:rsidR="004468A2" w:rsidRPr="00AD3B5E">
        <w:t>10</w:t>
      </w:r>
      <w:r w:rsidRPr="00AD3B5E">
        <w:t xml:space="preserve">.4. nebo povinnosti dle odstavců </w:t>
      </w:r>
      <w:r w:rsidR="004468A2" w:rsidRPr="00AD3B5E">
        <w:t>10</w:t>
      </w:r>
      <w:r w:rsidRPr="00AD3B5E">
        <w:t xml:space="preserve">.5 nebo </w:t>
      </w:r>
      <w:r w:rsidR="004468A2" w:rsidRPr="00AD3B5E">
        <w:t>10</w:t>
      </w:r>
      <w:r w:rsidRPr="00AD3B5E">
        <w:t>.6 této Smlouvy</w:t>
      </w:r>
      <w:r w:rsidRPr="0029677D">
        <w:t xml:space="preserve">, je </w:t>
      </w:r>
      <w:r w:rsidR="004413AA">
        <w:t>Kupující</w:t>
      </w:r>
      <w:r w:rsidRPr="0029677D">
        <w:t xml:space="preserve"> oprávněn odstoupit od této Smlouvy. </w:t>
      </w:r>
      <w:r w:rsidR="004413AA">
        <w:t xml:space="preserve">Dodavatel </w:t>
      </w:r>
      <w:r w:rsidRPr="0029677D">
        <w:t xml:space="preserve">je dále povinen zaplatit za každé jednotlivé porušení povinností dle předchozí věty smluvní pokutu ve </w:t>
      </w:r>
      <w:r w:rsidRPr="007013B5">
        <w:t>výši 5 %</w:t>
      </w:r>
      <w:r w:rsidRPr="0029677D">
        <w:t xml:space="preserve"> procent z Ceny</w:t>
      </w:r>
      <w:r>
        <w:t xml:space="preserve"> </w:t>
      </w:r>
      <w:r w:rsidR="004413AA">
        <w:t>dodávky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B4EC7CA" w14:textId="7AF65F13" w:rsidR="00D85C5B" w:rsidRPr="000C5DA0" w:rsidRDefault="00D85C5B" w:rsidP="00F45791">
      <w:pPr>
        <w:pStyle w:val="Nadpis1"/>
        <w:numPr>
          <w:ilvl w:val="0"/>
          <w:numId w:val="23"/>
        </w:numPr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E30A6F" w:rsidRDefault="00065284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ouva</w:t>
      </w:r>
      <w:r w:rsidR="00D85C5B" w:rsidRPr="00E30A6F">
        <w:rPr>
          <w:lang w:eastAsia="cs-CZ"/>
        </w:rPr>
        <w:t xml:space="preserve"> se </w:t>
      </w:r>
      <w:r w:rsidR="00FB5045" w:rsidRPr="00E30A6F">
        <w:rPr>
          <w:lang w:eastAsia="cs-CZ"/>
        </w:rPr>
        <w:t>řídí Obchodními podmínkami k této S</w:t>
      </w:r>
      <w:r w:rsidR="008B1447" w:rsidRPr="00E30A6F">
        <w:rPr>
          <w:lang w:eastAsia="cs-CZ"/>
        </w:rPr>
        <w:t>ml</w:t>
      </w:r>
      <w:r w:rsidR="00D85C5B" w:rsidRPr="00E30A6F">
        <w:rPr>
          <w:lang w:eastAsia="cs-CZ"/>
        </w:rPr>
        <w:t>ouvě (dále jen „Obchodní p</w:t>
      </w:r>
      <w:r w:rsidR="00FB5045" w:rsidRPr="00E30A6F">
        <w:rPr>
          <w:lang w:eastAsia="cs-CZ"/>
        </w:rPr>
        <w:t>odmínky“). Odchylná ujednání v této S</w:t>
      </w:r>
      <w:r w:rsidR="008B1447" w:rsidRPr="00E30A6F">
        <w:rPr>
          <w:lang w:eastAsia="cs-CZ"/>
        </w:rPr>
        <w:t>m</w:t>
      </w:r>
      <w:r w:rsidR="00FB5045" w:rsidRPr="00E30A6F">
        <w:rPr>
          <w:lang w:eastAsia="cs-CZ"/>
        </w:rPr>
        <w:t>l</w:t>
      </w:r>
      <w:r w:rsidR="00D85C5B" w:rsidRPr="00E30A6F">
        <w:rPr>
          <w:lang w:eastAsia="cs-CZ"/>
        </w:rPr>
        <w:t>ouvě mají před zněním Obchodních podmínek přednost.</w:t>
      </w:r>
    </w:p>
    <w:p w14:paraId="1F41EC23" w14:textId="6556E8B8" w:rsidR="00D85C5B" w:rsidRPr="00E30A6F" w:rsidRDefault="00D85C5B" w:rsidP="000672B4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Prodávající prohlašuje, že se zněním Obchodních podmínek se před podpisem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ouvy seznámil</w:t>
      </w:r>
      <w:r w:rsidR="000672B4">
        <w:rPr>
          <w:lang w:eastAsia="cs-CZ"/>
        </w:rPr>
        <w:t xml:space="preserve">, </w:t>
      </w:r>
      <w:r w:rsidRPr="00E30A6F">
        <w:rPr>
          <w:lang w:eastAsia="cs-CZ"/>
        </w:rPr>
        <w:t xml:space="preserve">v dostatečném rozsahu se seznámil se veškerými požadavky Kupujícího dle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</w:t>
      </w:r>
      <w:r w:rsidR="00385A72" w:rsidRPr="00E30A6F">
        <w:rPr>
          <w:lang w:eastAsia="cs-CZ"/>
        </w:rPr>
        <w:t>vy, přičemž si není vědom žádných</w:t>
      </w:r>
      <w:r w:rsidRPr="00E30A6F">
        <w:rPr>
          <w:lang w:eastAsia="cs-CZ"/>
        </w:rPr>
        <w:t xml:space="preserve"> překážek, které by mu bránily v poskytnutí sjednaného plnění v souladu s touto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ouvou.</w:t>
      </w:r>
    </w:p>
    <w:p w14:paraId="3F0CC7BE" w14:textId="69B5EC81" w:rsidR="00D85C5B" w:rsidRPr="00E30A6F" w:rsidRDefault="00346E96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Smlouva je vyhotovena v </w:t>
      </w:r>
      <w:r w:rsidR="0082511E" w:rsidRPr="00E30A6F">
        <w:rPr>
          <w:lang w:eastAsia="cs-CZ"/>
        </w:rPr>
        <w:t>listin</w:t>
      </w:r>
      <w:r w:rsidR="00E07F03">
        <w:rPr>
          <w:lang w:eastAsia="cs-CZ"/>
        </w:rPr>
        <w:t>n</w:t>
      </w:r>
      <w:r w:rsidR="0082511E" w:rsidRPr="00E30A6F">
        <w:rPr>
          <w:lang w:eastAsia="cs-CZ"/>
        </w:rPr>
        <w:t>é</w:t>
      </w:r>
      <w:r w:rsidRPr="00E30A6F">
        <w:rPr>
          <w:lang w:eastAsia="cs-CZ"/>
        </w:rPr>
        <w:t xml:space="preserve"> podobě, přičemž obě Smluvní strany </w:t>
      </w:r>
      <w:proofErr w:type="gramStart"/>
      <w:r w:rsidRPr="00E30A6F">
        <w:rPr>
          <w:lang w:eastAsia="cs-CZ"/>
        </w:rPr>
        <w:t>obdrží</w:t>
      </w:r>
      <w:proofErr w:type="gramEnd"/>
      <w:r w:rsidRPr="00E30A6F">
        <w:rPr>
          <w:lang w:eastAsia="cs-CZ"/>
        </w:rPr>
        <w:t xml:space="preserve"> její originál</w:t>
      </w:r>
      <w:r w:rsidR="00673324" w:rsidRPr="00E30A6F">
        <w:rPr>
          <w:lang w:eastAsia="cs-CZ"/>
        </w:rPr>
        <w:t xml:space="preserve"> opatřený </w:t>
      </w:r>
      <w:r w:rsidR="0082511E" w:rsidRPr="00E30A6F">
        <w:rPr>
          <w:lang w:eastAsia="cs-CZ"/>
        </w:rPr>
        <w:t>vlastnoručními</w:t>
      </w:r>
      <w:r w:rsidR="0099128F">
        <w:rPr>
          <w:lang w:eastAsia="cs-CZ"/>
        </w:rPr>
        <w:t xml:space="preserve"> podpisy. Smlouva</w:t>
      </w:r>
      <w:r w:rsidRPr="00E30A6F">
        <w:rPr>
          <w:lang w:eastAsia="cs-CZ"/>
        </w:rPr>
        <w:t xml:space="preserve">, bude </w:t>
      </w:r>
      <w:r w:rsidR="00D85C5B" w:rsidRPr="00E30A6F">
        <w:rPr>
          <w:lang w:eastAsia="cs-CZ"/>
        </w:rPr>
        <w:t xml:space="preserve">sepsána ve </w:t>
      </w:r>
      <w:r w:rsidR="007F5EC4" w:rsidRPr="00E30A6F">
        <w:rPr>
          <w:lang w:eastAsia="cs-CZ"/>
        </w:rPr>
        <w:t xml:space="preserve">třech </w:t>
      </w:r>
      <w:r w:rsidR="00D85C5B" w:rsidRPr="00E30A6F">
        <w:rPr>
          <w:lang w:eastAsia="cs-CZ"/>
        </w:rPr>
        <w:t xml:space="preserve">vyhotoveních, </w:t>
      </w:r>
      <w:r w:rsidR="00791AC7" w:rsidRPr="00E30A6F">
        <w:rPr>
          <w:lang w:eastAsia="cs-CZ"/>
        </w:rPr>
        <w:t xml:space="preserve">ve dvou vyhotoveních pro Kupujícího a jedno </w:t>
      </w:r>
      <w:r w:rsidR="0082511E" w:rsidRPr="00E30A6F">
        <w:rPr>
          <w:lang w:eastAsia="cs-CZ"/>
        </w:rPr>
        <w:t>pro</w:t>
      </w:r>
      <w:r w:rsidR="00791AC7" w:rsidRPr="00E30A6F">
        <w:rPr>
          <w:lang w:eastAsia="cs-CZ"/>
        </w:rPr>
        <w:t xml:space="preserve"> Prodávající</w:t>
      </w:r>
      <w:r w:rsidR="0082511E" w:rsidRPr="00E30A6F">
        <w:rPr>
          <w:lang w:eastAsia="cs-CZ"/>
        </w:rPr>
        <w:t>ho</w:t>
      </w:r>
      <w:r w:rsidR="00D85C5B" w:rsidRPr="00E30A6F">
        <w:rPr>
          <w:lang w:eastAsia="cs-CZ"/>
        </w:rPr>
        <w:t>.</w:t>
      </w:r>
    </w:p>
    <w:p w14:paraId="6857935F" w14:textId="6F5EBF3C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Veškerá práva a povinnosti Smluvních stran vyplývající z</w:t>
      </w:r>
      <w:r w:rsidR="00FB5045" w:rsidRPr="00E30A6F">
        <w:rPr>
          <w:lang w:eastAsia="cs-CZ"/>
        </w:rPr>
        <w:t> této S</w:t>
      </w:r>
      <w:r w:rsidRPr="00E30A6F">
        <w:rPr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vztahy neupravené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se řídí Občanským zákoníkem a dalšími právními předpisy.</w:t>
      </w:r>
    </w:p>
    <w:p w14:paraId="3C8CBFB3" w14:textId="5CB17E18" w:rsidR="00D85C5B" w:rsidRPr="00E30A6F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Všechny spory vznikající z 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38A952C1" w:rsidR="00D85C5B" w:rsidRPr="00E30A6F" w:rsidRDefault="00FB5045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</w:t>
      </w:r>
      <w:r w:rsidR="00D85C5B" w:rsidRPr="00E30A6F">
        <w:rPr>
          <w:lang w:eastAsia="cs-CZ"/>
        </w:rPr>
        <w:t>mlouvu lze měnit pouze písemnými dodatky.</w:t>
      </w:r>
    </w:p>
    <w:p w14:paraId="31B49DA5" w14:textId="77777777" w:rsidR="00152EC6" w:rsidRPr="00E30A6F" w:rsidRDefault="00152EC6" w:rsidP="00B53D3F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proofErr w:type="spellStart"/>
      <w:r w:rsidRPr="00E30A6F">
        <w:t>Compliance</w:t>
      </w:r>
      <w:proofErr w:type="spellEnd"/>
      <w:r w:rsidRPr="00E30A6F">
        <w:t xml:space="preserve"> doložka a etické zásady </w:t>
      </w:r>
    </w:p>
    <w:p w14:paraId="5F8FD8E9" w14:textId="5799FF61" w:rsidR="00152EC6" w:rsidRPr="00E30A6F" w:rsidRDefault="00152EC6" w:rsidP="008C5881">
      <w:pPr>
        <w:spacing w:after="0" w:line="240" w:lineRule="auto"/>
        <w:ind w:left="709"/>
        <w:contextualSpacing/>
        <w:jc w:val="both"/>
      </w:pPr>
      <w:r w:rsidRPr="00E30A6F"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E30A6F">
        <w:t>compliance</w:t>
      </w:r>
      <w:proofErr w:type="spellEnd"/>
      <w:r w:rsidRPr="00E30A6F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30A6F">
          <w:rPr>
            <w:rStyle w:val="Hypertextovodkaz"/>
          </w:rPr>
          <w:t>https://www.spravazeleznic.cz/o-nas/nazadouci-jednani-a-boj-s-korupci</w:t>
        </w:r>
      </w:hyperlink>
    </w:p>
    <w:p w14:paraId="0CA9E8C8" w14:textId="3CAFCC03" w:rsidR="00152EC6" w:rsidRPr="008C5881" w:rsidRDefault="009D448B" w:rsidP="008C5881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b/>
        </w:rPr>
      </w:pPr>
      <w:r w:rsidRPr="007013B5">
        <w:t>Dodavatel</w:t>
      </w:r>
      <w:r w:rsidR="00152EC6" w:rsidRPr="007013B5">
        <w:t xml:space="preserve"> se zavazuje přijmout vhodná technická a organizační opatření podle nařízení Evropského parlamentu a Rady (EU) 2016/679 ze dne 27. dubna 2016 o ochraně fyzických osob v souvislosti se zaprac</w:t>
      </w:r>
      <w:r w:rsidR="00152EC6" w:rsidRPr="007013B5">
        <w:rPr>
          <w:rStyle w:val="OdstavecsmlouvyChar"/>
          <w:rFonts w:eastAsiaTheme="minorHAnsi"/>
        </w:rPr>
        <w:t>o</w:t>
      </w:r>
      <w:r w:rsidR="00152EC6" w:rsidRPr="007013B5">
        <w:t>váním osobních údajů a o volném pohybu těchto údajů a o zrušení směrnice 95/46 ES (obecné nařízení o ochraně osobních údajů) (dále jen GDPR), které se na něj jako na zpracovatele vztahují a plnění těchto povinností na vyžádání doložit Objednateli.</w:t>
      </w:r>
    </w:p>
    <w:p w14:paraId="528A6A77" w14:textId="384BF17C" w:rsidR="00D85C5B" w:rsidRPr="00945170" w:rsidRDefault="00D85C5B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Poté, co Prodávající poprvé obdrží spolu s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řídila Obchodními podmínkami, pokud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 xml:space="preserve">mlouvy, neboť Prodávajícímu již bude obsah Obchodních </w:t>
      </w:r>
      <w:r w:rsidRPr="00945170">
        <w:rPr>
          <w:lang w:eastAsia="cs-CZ"/>
        </w:rPr>
        <w:t>podmínek známý.</w:t>
      </w:r>
    </w:p>
    <w:p w14:paraId="1B93A962" w14:textId="24B99360" w:rsidR="00D85C5B" w:rsidRPr="00945170" w:rsidRDefault="008B1447" w:rsidP="00B53D3F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945170">
        <w:rPr>
          <w:lang w:eastAsia="cs-CZ"/>
        </w:rPr>
        <w:t>Tato S</w:t>
      </w:r>
      <w:r w:rsidR="00D85C5B" w:rsidRPr="00945170">
        <w:rPr>
          <w:lang w:eastAsia="cs-CZ"/>
        </w:rPr>
        <w:t xml:space="preserve">mlouva nabývá platnosti okamžikem podpisu poslední ze </w:t>
      </w:r>
      <w:r w:rsidR="00FB5045" w:rsidRPr="00945170">
        <w:rPr>
          <w:lang w:eastAsia="cs-CZ"/>
        </w:rPr>
        <w:t>Sml</w:t>
      </w:r>
      <w:r w:rsidR="00D85C5B" w:rsidRPr="00945170">
        <w:rPr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13B2D2AD" w:rsidR="00D85C5B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E48E60D" w14:textId="77777777" w:rsidR="00C4273A" w:rsidRPr="000C5DA0" w:rsidRDefault="00C4273A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Pr="00104A5A" w:rsidRDefault="008F2302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04A5A">
        <w:rPr>
          <w:rFonts w:eastAsia="Times New Roman" w:cs="Times New Roman"/>
          <w:lang w:eastAsia="cs-CZ"/>
        </w:rPr>
        <w:t xml:space="preserve">Příloha č. 1: </w:t>
      </w:r>
      <w:r w:rsidRPr="00104A5A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2AF068E6" w:rsidR="00D85C5B" w:rsidRPr="00104A5A" w:rsidRDefault="00227BAE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04A5A">
        <w:rPr>
          <w:rFonts w:eastAsia="Times New Roman" w:cs="Times New Roman"/>
          <w:lang w:eastAsia="cs-CZ"/>
        </w:rPr>
        <w:t>P</w:t>
      </w:r>
      <w:r w:rsidR="00D85C5B" w:rsidRPr="00104A5A">
        <w:rPr>
          <w:rFonts w:eastAsia="Times New Roman" w:cs="Times New Roman"/>
          <w:lang w:eastAsia="cs-CZ"/>
        </w:rPr>
        <w:t xml:space="preserve">říloha č. </w:t>
      </w:r>
      <w:r w:rsidR="00013A77" w:rsidRPr="00104A5A">
        <w:rPr>
          <w:rFonts w:eastAsia="Times New Roman" w:cs="Times New Roman"/>
          <w:lang w:eastAsia="cs-CZ"/>
        </w:rPr>
        <w:t>2</w:t>
      </w:r>
      <w:r w:rsidR="00D85C5B" w:rsidRPr="00104A5A">
        <w:rPr>
          <w:rFonts w:eastAsia="Times New Roman" w:cs="Times New Roman"/>
          <w:lang w:eastAsia="cs-CZ"/>
        </w:rPr>
        <w:t>:</w:t>
      </w:r>
      <w:r w:rsidR="00D85C5B" w:rsidRPr="00104A5A">
        <w:rPr>
          <w:rFonts w:eastAsia="Times New Roman" w:cs="Times New Roman"/>
          <w:lang w:eastAsia="cs-CZ"/>
        </w:rPr>
        <w:tab/>
      </w:r>
      <w:r w:rsidR="008532D8" w:rsidRPr="00104A5A">
        <w:rPr>
          <w:rFonts w:eastAsia="Times New Roman" w:cs="Times New Roman"/>
          <w:lang w:eastAsia="cs-CZ"/>
        </w:rPr>
        <w:t>Nabídkový ceník</w:t>
      </w:r>
    </w:p>
    <w:p w14:paraId="46621F99" w14:textId="4B9FD797" w:rsidR="00CC1601" w:rsidRPr="00104A5A" w:rsidRDefault="00227BAE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04A5A">
        <w:rPr>
          <w:rFonts w:eastAsia="Times New Roman" w:cs="Times New Roman"/>
          <w:lang w:eastAsia="cs-CZ"/>
        </w:rPr>
        <w:t>P</w:t>
      </w:r>
      <w:r w:rsidR="00CC1601" w:rsidRPr="00104A5A">
        <w:rPr>
          <w:rFonts w:eastAsia="Times New Roman" w:cs="Times New Roman"/>
          <w:lang w:eastAsia="cs-CZ"/>
        </w:rPr>
        <w:t xml:space="preserve">říloha č. </w:t>
      </w:r>
      <w:r w:rsidR="00013A77" w:rsidRPr="00104A5A">
        <w:rPr>
          <w:rFonts w:eastAsia="Times New Roman" w:cs="Times New Roman"/>
          <w:lang w:eastAsia="cs-CZ"/>
        </w:rPr>
        <w:t>3</w:t>
      </w:r>
      <w:r w:rsidR="00CC1601" w:rsidRPr="00104A5A">
        <w:rPr>
          <w:rFonts w:eastAsia="Times New Roman" w:cs="Times New Roman"/>
          <w:lang w:eastAsia="cs-CZ"/>
        </w:rPr>
        <w:t>:</w:t>
      </w:r>
      <w:r w:rsidR="00CC1601" w:rsidRPr="00104A5A">
        <w:rPr>
          <w:rFonts w:eastAsia="Times New Roman" w:cs="Times New Roman"/>
          <w:lang w:eastAsia="cs-CZ"/>
        </w:rPr>
        <w:tab/>
      </w:r>
      <w:r w:rsidRPr="00104A5A">
        <w:rPr>
          <w:rFonts w:eastAsia="Times New Roman" w:cs="Times New Roman"/>
          <w:lang w:eastAsia="cs-CZ"/>
        </w:rPr>
        <w:t>Seznam poddodavatelů</w:t>
      </w:r>
    </w:p>
    <w:p w14:paraId="1416137A" w14:textId="722D5596" w:rsidR="00033414" w:rsidRPr="00104A5A" w:rsidRDefault="00227BAE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04A5A">
        <w:rPr>
          <w:rFonts w:eastAsia="Times New Roman" w:cs="Times New Roman"/>
          <w:lang w:eastAsia="cs-CZ"/>
        </w:rPr>
        <w:t>P</w:t>
      </w:r>
      <w:r w:rsidR="00033414" w:rsidRPr="00104A5A">
        <w:rPr>
          <w:rFonts w:eastAsia="Times New Roman" w:cs="Times New Roman"/>
          <w:lang w:eastAsia="cs-CZ"/>
        </w:rPr>
        <w:t xml:space="preserve">říloha č. </w:t>
      </w:r>
      <w:r w:rsidR="00013A77" w:rsidRPr="00104A5A">
        <w:rPr>
          <w:rFonts w:eastAsia="Times New Roman" w:cs="Times New Roman"/>
          <w:lang w:eastAsia="cs-CZ"/>
        </w:rPr>
        <w:t>4</w:t>
      </w:r>
      <w:r w:rsidR="00033414" w:rsidRPr="00104A5A">
        <w:rPr>
          <w:rFonts w:eastAsia="Times New Roman" w:cs="Times New Roman"/>
          <w:lang w:eastAsia="cs-CZ"/>
        </w:rPr>
        <w:t xml:space="preserve">: </w:t>
      </w:r>
      <w:r w:rsidR="00033414" w:rsidRPr="00104A5A">
        <w:rPr>
          <w:rFonts w:eastAsia="Times New Roman" w:cs="Times New Roman"/>
          <w:lang w:eastAsia="cs-CZ"/>
        </w:rPr>
        <w:tab/>
      </w:r>
      <w:r w:rsidR="008F2302" w:rsidRPr="00104A5A">
        <w:rPr>
          <w:rFonts w:eastAsia="Times New Roman" w:cs="Times New Roman"/>
          <w:lang w:eastAsia="cs-CZ"/>
        </w:rPr>
        <w:t>P</w:t>
      </w:r>
      <w:r w:rsidR="00033414" w:rsidRPr="00104A5A">
        <w:rPr>
          <w:rFonts w:eastAsia="Times New Roman" w:cs="Times New Roman"/>
          <w:lang w:eastAsia="cs-CZ"/>
        </w:rPr>
        <w:t>lná moc (pouze v případě zastoupení prodávajícího osobou na základě plné moci)</w:t>
      </w:r>
    </w:p>
    <w:p w14:paraId="7AEE3716" w14:textId="60E48817" w:rsidR="00227BAE" w:rsidRPr="00104A5A" w:rsidRDefault="00227BAE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04A5A">
        <w:rPr>
          <w:rFonts w:eastAsia="Times New Roman" w:cs="Times New Roman"/>
          <w:lang w:eastAsia="cs-CZ"/>
        </w:rPr>
        <w:t>Příloha č. 5:</w:t>
      </w:r>
      <w:r w:rsidRPr="00104A5A">
        <w:rPr>
          <w:rFonts w:eastAsia="Times New Roman" w:cs="Times New Roman"/>
          <w:lang w:eastAsia="cs-CZ"/>
        </w:rPr>
        <w:tab/>
        <w:t>Opatření pro postup v případě anonymního oznámení o NVS</w:t>
      </w:r>
    </w:p>
    <w:p w14:paraId="6C6352E2" w14:textId="22AEA1F9" w:rsidR="00227BAE" w:rsidRPr="00104A5A" w:rsidRDefault="00227BAE" w:rsidP="00F45791">
      <w:pPr>
        <w:pStyle w:val="BodyText31"/>
        <w:tabs>
          <w:tab w:val="clear" w:pos="2268"/>
          <w:tab w:val="clear" w:pos="4536"/>
        </w:tabs>
        <w:contextualSpacing/>
        <w:rPr>
          <w:rFonts w:asciiTheme="minorHAnsi" w:hAnsiTheme="minorHAnsi"/>
          <w:sz w:val="18"/>
          <w:szCs w:val="18"/>
        </w:rPr>
      </w:pPr>
      <w:r w:rsidRPr="00104A5A">
        <w:rPr>
          <w:rFonts w:asciiTheme="minorHAnsi" w:hAnsiTheme="minorHAnsi"/>
          <w:sz w:val="18"/>
          <w:szCs w:val="18"/>
        </w:rPr>
        <w:t>Příloha č. 6:</w:t>
      </w:r>
      <w:r w:rsidRPr="00104A5A">
        <w:rPr>
          <w:rFonts w:asciiTheme="minorHAnsi" w:hAnsiTheme="minorHAnsi"/>
          <w:sz w:val="18"/>
          <w:szCs w:val="18"/>
        </w:rPr>
        <w:tab/>
        <w:t>Analýza nebezpečí a hodnocení rizik</w:t>
      </w:r>
    </w:p>
    <w:p w14:paraId="208890E5" w14:textId="6B99C766" w:rsidR="00104A5A" w:rsidRPr="00104A5A" w:rsidRDefault="00104A5A" w:rsidP="00F45791">
      <w:pPr>
        <w:pStyle w:val="BodyText31"/>
        <w:tabs>
          <w:tab w:val="clear" w:pos="2268"/>
          <w:tab w:val="clear" w:pos="4536"/>
        </w:tabs>
        <w:contextualSpacing/>
        <w:rPr>
          <w:rFonts w:asciiTheme="minorHAnsi" w:hAnsiTheme="minorHAnsi"/>
          <w:sz w:val="18"/>
          <w:szCs w:val="18"/>
        </w:rPr>
      </w:pPr>
      <w:r w:rsidRPr="00104A5A">
        <w:rPr>
          <w:rFonts w:asciiTheme="minorHAnsi" w:hAnsiTheme="minorHAnsi"/>
          <w:sz w:val="18"/>
          <w:szCs w:val="18"/>
        </w:rPr>
        <w:t>Příloha č. 7:</w:t>
      </w:r>
      <w:r w:rsidRPr="00104A5A">
        <w:rPr>
          <w:rFonts w:asciiTheme="minorHAnsi" w:hAnsiTheme="minorHAnsi"/>
          <w:sz w:val="18"/>
          <w:szCs w:val="18"/>
        </w:rPr>
        <w:tab/>
        <w:t>Čestné prohlášení o splnění požadovaných technických parametrů</w:t>
      </w:r>
    </w:p>
    <w:p w14:paraId="6EEF4628" w14:textId="77777777" w:rsidR="00227BAE" w:rsidRPr="00593AE5" w:rsidRDefault="00227BAE" w:rsidP="00F4579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7F5D66B3" w14:textId="77777777" w:rsidR="00CB3AD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2C55399" w14:textId="3934FBA9" w:rsidR="00104A5A" w:rsidRDefault="00104A5A" w:rsidP="00F45791">
      <w:pPr>
        <w:widowControl w:val="0"/>
        <w:spacing w:after="0" w:line="276" w:lineRule="auto"/>
        <w:jc w:val="both"/>
      </w:pPr>
      <w:r w:rsidRPr="0019340A">
        <w:t xml:space="preserve">V Praze dne ............................ </w:t>
      </w:r>
      <w:r>
        <w:tab/>
      </w:r>
      <w:r>
        <w:tab/>
      </w:r>
      <w:r w:rsidR="00BA07DC">
        <w:tab/>
      </w:r>
      <w:r w:rsidRPr="0019340A">
        <w:t>V ……… dne ………</w:t>
      </w:r>
    </w:p>
    <w:p w14:paraId="096955A3" w14:textId="77777777" w:rsidR="00104A5A" w:rsidRDefault="00104A5A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B0CC9AB" w14:textId="77777777" w:rsidR="00104A5A" w:rsidRDefault="00104A5A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0C04FE0" w14:textId="2906F5B4" w:rsidR="00CB3AD5" w:rsidRPr="0022146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0F417DA" w14:textId="77777777" w:rsidR="00CB3AD5" w:rsidRPr="0022146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F43D8FE" w14:textId="77777777" w:rsidR="00CB3AD5" w:rsidRPr="0022146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E8571A" w14:textId="77777777" w:rsidR="00CB3AD5" w:rsidRPr="00221465" w:rsidRDefault="00CB3AD5" w:rsidP="00F45791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21A58F80" w14:textId="6D5DA151" w:rsidR="00104A5A" w:rsidRPr="00104A5A" w:rsidRDefault="00104A5A" w:rsidP="00B53D3F">
      <w:pPr>
        <w:tabs>
          <w:tab w:val="left" w:pos="5010"/>
        </w:tabs>
        <w:spacing w:after="0"/>
        <w:rPr>
          <w:b/>
        </w:rPr>
      </w:pPr>
      <w:r w:rsidRPr="0019340A">
        <w:rPr>
          <w:b/>
        </w:rPr>
        <w:t>Ing. Vladimír Filip</w:t>
      </w:r>
      <w:r>
        <w:rPr>
          <w:b/>
        </w:rPr>
        <w:tab/>
      </w:r>
      <w:r w:rsidRPr="00E07F03">
        <w:rPr>
          <w:rFonts w:asciiTheme="majorHAnsi" w:hAnsiTheme="majorHAnsi"/>
          <w:noProof/>
          <w:highlight w:val="yellow"/>
        </w:rPr>
        <w:t>[</w:t>
      </w:r>
      <w:r w:rsidRPr="00E07F03">
        <w:rPr>
          <w:rFonts w:asciiTheme="majorHAnsi" w:hAnsiTheme="majorHAnsi"/>
          <w:iCs/>
          <w:noProof/>
          <w:highlight w:val="yellow"/>
        </w:rPr>
        <w:t>DOPLNÍ</w:t>
      </w:r>
      <w:r w:rsidR="00B53D3F">
        <w:rPr>
          <w:rFonts w:asciiTheme="majorHAnsi" w:hAnsiTheme="majorHAnsi"/>
          <w:iCs/>
          <w:noProof/>
          <w:highlight w:val="yellow"/>
        </w:rPr>
        <w:t xml:space="preserve"> </w:t>
      </w:r>
      <w:r w:rsidRPr="00E07F03">
        <w:rPr>
          <w:rFonts w:asciiTheme="majorHAnsi" w:hAnsiTheme="majorHAnsi"/>
          <w:iCs/>
          <w:noProof/>
          <w:highlight w:val="yellow"/>
        </w:rPr>
        <w:t>PRODÁVAJÍCÍ</w:t>
      </w:r>
      <w:r w:rsidRPr="00E07F03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</w:rPr>
        <w:br/>
      </w:r>
      <w:r w:rsidRPr="0019340A">
        <w:t xml:space="preserve">ředitel </w:t>
      </w:r>
    </w:p>
    <w:p w14:paraId="677EE35C" w14:textId="2BC338C0" w:rsidR="00104A5A" w:rsidRDefault="00104A5A" w:rsidP="00F45791">
      <w:pPr>
        <w:tabs>
          <w:tab w:val="left" w:pos="5103"/>
        </w:tabs>
        <w:jc w:val="both"/>
      </w:pPr>
      <w:r w:rsidRPr="0019340A">
        <w:t>Oblastní ředitelství Praha</w:t>
      </w:r>
    </w:p>
    <w:p w14:paraId="7B64E754" w14:textId="77777777" w:rsidR="000358A3" w:rsidRDefault="000358A3" w:rsidP="00F45791">
      <w:pPr>
        <w:tabs>
          <w:tab w:val="left" w:pos="5103"/>
        </w:tabs>
        <w:jc w:val="both"/>
      </w:pPr>
    </w:p>
    <w:p w14:paraId="67176609" w14:textId="406F3F95" w:rsidR="000358A3" w:rsidRDefault="000358A3" w:rsidP="00F45791">
      <w:pPr>
        <w:tabs>
          <w:tab w:val="left" w:pos="5103"/>
        </w:tabs>
        <w:jc w:val="both"/>
      </w:pPr>
      <w:r w:rsidRPr="000358A3">
        <w:t>Tato smlouva byla uveřejněna prostřednictvím Registru smluv dne ………</w:t>
      </w:r>
    </w:p>
    <w:p w14:paraId="7D243CA1" w14:textId="77777777" w:rsidR="00B4014E" w:rsidRDefault="00B4014E" w:rsidP="00B4014E">
      <w:pPr>
        <w:rPr>
          <w:rFonts w:asciiTheme="majorHAnsi" w:hAnsiTheme="majorHAnsi"/>
          <w:noProof/>
        </w:rPr>
        <w:sectPr w:rsidR="00B4014E" w:rsidSect="00F538CB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181" w:gutter="0"/>
          <w:cols w:space="708"/>
          <w:titlePg/>
          <w:docGrid w:linePitch="360"/>
        </w:sectPr>
      </w:pPr>
    </w:p>
    <w:tbl>
      <w:tblPr>
        <w:tblStyle w:val="Mkatabulky1"/>
        <w:tblpPr w:leftFromText="141" w:rightFromText="141" w:vertAnchor="text" w:horzAnchor="margin" w:tblpY="181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5C6E1F" w:rsidRPr="00850FE9" w14:paraId="27285573" w14:textId="77777777" w:rsidTr="005C6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565146A" w14:textId="77777777" w:rsidR="005C6E1F" w:rsidRPr="00850FE9" w:rsidRDefault="005C6E1F" w:rsidP="005C6E1F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850FE9">
              <w:rPr>
                <w:rFonts w:eastAsia="Verdana" w:cs="Times New Roman"/>
                <w:b/>
                <w:sz w:val="18"/>
              </w:rPr>
              <w:t>IDENTIFIKACE PODDODAVATELE</w:t>
            </w:r>
          </w:p>
          <w:p w14:paraId="11CCCB27" w14:textId="77777777" w:rsidR="005C6E1F" w:rsidRPr="00850FE9" w:rsidRDefault="005C6E1F" w:rsidP="005C6E1F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850FE9"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14:paraId="789A43D2" w14:textId="77777777" w:rsidR="005C6E1F" w:rsidRPr="00850FE9" w:rsidRDefault="005C6E1F" w:rsidP="005C6E1F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 w:rsidRPr="00850FE9"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5128D962" w14:textId="77777777" w:rsidR="005C6E1F" w:rsidRPr="00850FE9" w:rsidRDefault="005C6E1F" w:rsidP="005C6E1F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 w:rsidRPr="00850FE9"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5C6E1F" w:rsidRPr="00850FE9" w14:paraId="5983EBAC" w14:textId="77777777" w:rsidTr="005C6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162F63E" w14:textId="77777777" w:rsidR="005C6E1F" w:rsidRPr="00850FE9" w:rsidRDefault="005C6E1F" w:rsidP="005C6E1F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5C8D7DB7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3B1CC37A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5C6E1F" w:rsidRPr="00850FE9" w14:paraId="36DAC9C1" w14:textId="77777777" w:rsidTr="005C6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4F502D9" w14:textId="77777777" w:rsidR="005C6E1F" w:rsidRPr="00850FE9" w:rsidRDefault="005C6E1F" w:rsidP="005C6E1F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367AFEBF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278BBCE8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5C6E1F" w:rsidRPr="00850FE9" w14:paraId="0934929B" w14:textId="77777777" w:rsidTr="005C6E1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27AB0CE" w14:textId="77777777" w:rsidR="005C6E1F" w:rsidRPr="00850FE9" w:rsidRDefault="005C6E1F" w:rsidP="005C6E1F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37DD9173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4A21AE9D" w14:textId="77777777" w:rsidR="005C6E1F" w:rsidRPr="00850FE9" w:rsidRDefault="005C6E1F" w:rsidP="005C6E1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 w:rsidRPr="00850FE9"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</w:tbl>
    <w:p w14:paraId="73BA6013" w14:textId="77777777" w:rsidR="005A6D3D" w:rsidRPr="00850FE9" w:rsidRDefault="005A6D3D" w:rsidP="005A6D3D">
      <w:pPr>
        <w:spacing w:before="40" w:after="40" w:line="240" w:lineRule="auto"/>
        <w:jc w:val="both"/>
        <w:rPr>
          <w:rFonts w:eastAsia="Verdana" w:cs="Times New Roman"/>
        </w:rPr>
      </w:pPr>
    </w:p>
    <w:p w14:paraId="6BAE0EE2" w14:textId="0A3DBA64" w:rsidR="00A349F7" w:rsidRPr="000358A3" w:rsidRDefault="00A349F7" w:rsidP="00B4014E">
      <w:pPr>
        <w:rPr>
          <w:rFonts w:asciiTheme="majorHAnsi" w:hAnsiTheme="majorHAnsi"/>
          <w:noProof/>
        </w:rPr>
      </w:pPr>
    </w:p>
    <w:sectPr w:rsidR="00A349F7" w:rsidRPr="000358A3" w:rsidSect="005A6D3D">
      <w:headerReference w:type="first" r:id="rId18"/>
      <w:footerReference w:type="first" r:id="rId19"/>
      <w:pgSz w:w="11906" w:h="16838" w:code="9"/>
      <w:pgMar w:top="1417" w:right="1417" w:bottom="1417" w:left="1417" w:header="595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2136" w14:textId="77777777" w:rsidR="008A506E" w:rsidRDefault="008A506E" w:rsidP="00962258">
      <w:pPr>
        <w:spacing w:after="0" w:line="240" w:lineRule="auto"/>
      </w:pPr>
      <w:r>
        <w:separator/>
      </w:r>
    </w:p>
    <w:p w14:paraId="184AE2C5" w14:textId="77777777" w:rsidR="008A506E" w:rsidRDefault="008A506E"/>
  </w:endnote>
  <w:endnote w:type="continuationSeparator" w:id="0">
    <w:p w14:paraId="3A18A0CB" w14:textId="77777777" w:rsidR="008A506E" w:rsidRDefault="008A506E" w:rsidP="00962258">
      <w:pPr>
        <w:spacing w:after="0" w:line="240" w:lineRule="auto"/>
      </w:pPr>
      <w:r>
        <w:continuationSeparator/>
      </w:r>
    </w:p>
    <w:p w14:paraId="5DDD6C41" w14:textId="77777777" w:rsidR="008A506E" w:rsidRDefault="008A50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A1B1B5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12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6F442C">
            <w:rPr>
              <w:rStyle w:val="slostrnky"/>
            </w:rPr>
            <w:t>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D05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42D7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1463E" w14:textId="77777777" w:rsidR="00C15656" w:rsidRDefault="00C15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F442C" w14:paraId="14AAA8B2" w14:textId="77777777" w:rsidTr="006F442C">
      <w:tc>
        <w:tcPr>
          <w:tcW w:w="1361" w:type="dxa"/>
          <w:tcMar>
            <w:top w:w="34" w:type="dxa"/>
            <w:left w:w="0" w:type="dxa"/>
            <w:bottom w:w="57" w:type="dxa"/>
            <w:right w:w="0" w:type="dxa"/>
          </w:tcMar>
          <w:vAlign w:val="bottom"/>
          <w:hideMark/>
        </w:tcPr>
        <w:p w14:paraId="033541F9" w14:textId="76B8B60A" w:rsidR="006F442C" w:rsidRDefault="006F442C" w:rsidP="006F442C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 w:rsidR="007D6C34">
            <w:rPr>
              <w:rStyle w:val="slostrnky"/>
            </w:rPr>
            <w:t>6</w:t>
          </w:r>
        </w:p>
      </w:tc>
      <w:tc>
        <w:tcPr>
          <w:tcW w:w="3458" w:type="dxa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2D308E34" w14:textId="77777777" w:rsidR="006F442C" w:rsidRDefault="006F442C" w:rsidP="006F442C">
          <w:pPr>
            <w:pStyle w:val="Zpat"/>
          </w:pPr>
          <w:r>
            <w:t>Správa železnic, státní organizace</w:t>
          </w:r>
        </w:p>
        <w:p w14:paraId="3ACC22D5" w14:textId="77777777" w:rsidR="006F442C" w:rsidRDefault="006F442C" w:rsidP="006F442C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top w:w="34" w:type="dxa"/>
            <w:left w:w="0" w:type="dxa"/>
            <w:bottom w:w="57" w:type="dxa"/>
            <w:right w:w="0" w:type="dxa"/>
          </w:tcMar>
        </w:tcPr>
        <w:p w14:paraId="446109DD" w14:textId="77777777" w:rsidR="006F442C" w:rsidRDefault="006F442C" w:rsidP="006F442C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9C43DDF" w14:textId="77777777" w:rsidR="006F442C" w:rsidRDefault="006F442C" w:rsidP="006F442C">
          <w:pPr>
            <w:pStyle w:val="Zpat"/>
          </w:pPr>
          <w:r>
            <w:t>IČ: 709 94 234 DIČ: CZ 709 94 234</w:t>
          </w:r>
        </w:p>
        <w:p w14:paraId="58868501" w14:textId="41E991E6" w:rsidR="006F442C" w:rsidRDefault="00A24249" w:rsidP="006F442C">
          <w:pPr>
            <w:pStyle w:val="Zpat"/>
          </w:pPr>
          <w:r>
            <w:t>spravazeleznic.cz</w:t>
          </w:r>
        </w:p>
      </w:tc>
      <w:tc>
        <w:tcPr>
          <w:tcW w:w="2921" w:type="dxa"/>
          <w:hideMark/>
        </w:tcPr>
        <w:p w14:paraId="3BA94DE8" w14:textId="77777777" w:rsidR="006F442C" w:rsidRDefault="006F442C" w:rsidP="006F442C">
          <w:pPr>
            <w:pStyle w:val="Zpat"/>
          </w:pPr>
          <w:r>
            <w:t>Oblastní ředitelství Praha</w:t>
          </w:r>
        </w:p>
        <w:p w14:paraId="691E8F40" w14:textId="77777777" w:rsidR="006F442C" w:rsidRDefault="006F442C" w:rsidP="006F442C">
          <w:pPr>
            <w:pStyle w:val="Zpat"/>
          </w:pPr>
          <w:r>
            <w:t>Partyzánská 24</w:t>
          </w:r>
        </w:p>
        <w:p w14:paraId="546A7F83" w14:textId="77777777" w:rsidR="006F442C" w:rsidRDefault="006F442C" w:rsidP="006F442C">
          <w:pPr>
            <w:pStyle w:val="Zpat"/>
          </w:pPr>
          <w:r>
            <w:t>170 00 Praha 7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5C39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6E58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4C1C5832" w14:textId="77777777" w:rsidR="00C15656" w:rsidRDefault="00C156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2A9B" w14:textId="77777777" w:rsidR="006F442C" w:rsidRPr="00B8518B" w:rsidRDefault="006F442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1A2DE06" wp14:editId="502C60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64B01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BYvkqx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18F2848" wp14:editId="7C0937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CF973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6f1QEAABEEAAAOAAAAZHJzL2Uyb0RvYy54bWysU8tu2zAQvBfoPxC815KMtA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z98Yb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4k4On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9047625" w14:textId="77777777" w:rsidR="006F442C" w:rsidRPr="00460660" w:rsidRDefault="006F442C">
    <w:pPr>
      <w:pStyle w:val="Zpat"/>
      <w:rPr>
        <w:sz w:val="2"/>
        <w:szCs w:val="2"/>
      </w:rPr>
    </w:pPr>
  </w:p>
  <w:p w14:paraId="2B352A42" w14:textId="77777777" w:rsidR="006F442C" w:rsidRDefault="006F44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E24A" w14:textId="77777777" w:rsidR="008A506E" w:rsidRDefault="008A506E" w:rsidP="00962258">
      <w:pPr>
        <w:spacing w:after="0" w:line="240" w:lineRule="auto"/>
      </w:pPr>
      <w:r>
        <w:separator/>
      </w:r>
    </w:p>
    <w:p w14:paraId="4A6B09F9" w14:textId="77777777" w:rsidR="008A506E" w:rsidRDefault="008A506E"/>
  </w:footnote>
  <w:footnote w:type="continuationSeparator" w:id="0">
    <w:p w14:paraId="19116A39" w14:textId="77777777" w:rsidR="008A506E" w:rsidRDefault="008A506E" w:rsidP="00962258">
      <w:pPr>
        <w:spacing w:after="0" w:line="240" w:lineRule="auto"/>
      </w:pPr>
      <w:r>
        <w:continuationSeparator/>
      </w:r>
    </w:p>
    <w:p w14:paraId="4C24D72F" w14:textId="77777777" w:rsidR="008A506E" w:rsidRDefault="008A50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BF30E09" w14:textId="77777777" w:rsidR="00C15656" w:rsidRDefault="00C15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43DB6901" w14:textId="77777777" w:rsidR="00C15656" w:rsidRDefault="00C1565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6D3D" w14:paraId="7DE82B3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F34497" w14:textId="77777777" w:rsidR="005A6D3D" w:rsidRPr="00B8518B" w:rsidRDefault="005A6D3D" w:rsidP="005C6E1F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9BEB83" w14:textId="77777777" w:rsidR="005C6E1F" w:rsidRDefault="005C6E1F" w:rsidP="005C6E1F">
          <w:pPr>
            <w:spacing w:line="264" w:lineRule="auto"/>
            <w:rPr>
              <w:rFonts w:eastAsia="Verdana" w:cs="Times New Roman"/>
              <w:b/>
              <w:sz w:val="22"/>
            </w:rPr>
          </w:pPr>
        </w:p>
        <w:p w14:paraId="3D59A1B8" w14:textId="77777777" w:rsidR="005C6E1F" w:rsidRDefault="005C6E1F" w:rsidP="005C6E1F">
          <w:pPr>
            <w:spacing w:line="264" w:lineRule="auto"/>
            <w:rPr>
              <w:rFonts w:eastAsia="Verdana" w:cs="Times New Roman"/>
              <w:b/>
              <w:sz w:val="22"/>
            </w:rPr>
          </w:pPr>
        </w:p>
        <w:p w14:paraId="2E443A5C" w14:textId="329DE51D" w:rsidR="005C6E1F" w:rsidRPr="00850FE9" w:rsidRDefault="005C6E1F" w:rsidP="005C6E1F">
          <w:pPr>
            <w:spacing w:line="264" w:lineRule="auto"/>
            <w:rPr>
              <w:rFonts w:eastAsia="Verdana" w:cs="Times New Roman"/>
              <w:b/>
              <w:sz w:val="22"/>
            </w:rPr>
          </w:pPr>
          <w:r w:rsidRPr="00850FE9">
            <w:rPr>
              <w:rFonts w:eastAsia="Verdana" w:cs="Times New Roman"/>
              <w:b/>
              <w:sz w:val="22"/>
            </w:rPr>
            <w:t>Příloha č. 3</w:t>
          </w:r>
        </w:p>
        <w:p w14:paraId="3C9B12E6" w14:textId="77777777" w:rsidR="005A6D3D" w:rsidRDefault="005A6D3D" w:rsidP="005C6E1F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30C451" w14:textId="77777777" w:rsidR="005A6D3D" w:rsidRPr="00D6163D" w:rsidRDefault="005A6D3D" w:rsidP="005C6E1F">
          <w:pPr>
            <w:pStyle w:val="Druhdokumentu"/>
          </w:pPr>
        </w:p>
      </w:tc>
    </w:tr>
    <w:tr w:rsidR="005A6D3D" w14:paraId="56992837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CDF9DA" w14:textId="77777777" w:rsidR="005A6D3D" w:rsidRPr="00B8518B" w:rsidRDefault="005A6D3D" w:rsidP="005C6E1F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F6EE32" w14:textId="77777777" w:rsidR="005A6D3D" w:rsidRDefault="005A6D3D" w:rsidP="005C6E1F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1CD15F" w14:textId="77777777" w:rsidR="005A6D3D" w:rsidRPr="00D6163D" w:rsidRDefault="005A6D3D" w:rsidP="005C6E1F">
          <w:pPr>
            <w:pStyle w:val="Druhdokumentu"/>
          </w:pPr>
        </w:p>
      </w:tc>
    </w:tr>
  </w:tbl>
  <w:p w14:paraId="00041C03" w14:textId="77777777" w:rsidR="005C6E1F" w:rsidRPr="005C6E1F" w:rsidRDefault="005C6E1F" w:rsidP="005C6E1F">
    <w:pPr>
      <w:spacing w:after="0"/>
      <w:rPr>
        <w:rFonts w:eastAsia="Verdana" w:cs="Times New Roman"/>
        <w:b/>
        <w:sz w:val="22"/>
        <w:szCs w:val="22"/>
      </w:rPr>
    </w:pPr>
    <w:r w:rsidRPr="005C6E1F">
      <w:rPr>
        <w:rFonts w:eastAsia="Verdana" w:cs="Times New Roman"/>
        <w:b/>
        <w:sz w:val="22"/>
        <w:szCs w:val="22"/>
      </w:rPr>
      <w:t>Seznam poddodavatelů</w:t>
    </w:r>
  </w:p>
  <w:p w14:paraId="4CA8A5D0" w14:textId="2BCD74D4" w:rsidR="005A6D3D" w:rsidRPr="00D6163D" w:rsidRDefault="005A6D3D" w:rsidP="00FC6389">
    <w:pPr>
      <w:pStyle w:val="Zhlav"/>
      <w:rPr>
        <w:sz w:val="8"/>
        <w:szCs w:val="8"/>
      </w:rPr>
    </w:pPr>
  </w:p>
  <w:p w14:paraId="7CEE029D" w14:textId="77777777" w:rsidR="005A6D3D" w:rsidRPr="00460660" w:rsidRDefault="005A6D3D">
    <w:pPr>
      <w:pStyle w:val="Zhlav"/>
      <w:rPr>
        <w:sz w:val="2"/>
        <w:szCs w:val="2"/>
      </w:rPr>
    </w:pPr>
  </w:p>
  <w:p w14:paraId="51E72A02" w14:textId="77777777" w:rsidR="005A6D3D" w:rsidRDefault="005A6D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60B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7250F3C"/>
    <w:multiLevelType w:val="hybridMultilevel"/>
    <w:tmpl w:val="EE783798"/>
    <w:lvl w:ilvl="0" w:tplc="26E213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6" w15:restartNumberingAfterBreak="0">
    <w:nsid w:val="185B14FC"/>
    <w:multiLevelType w:val="hybridMultilevel"/>
    <w:tmpl w:val="74E039FA"/>
    <w:lvl w:ilvl="0" w:tplc="26E213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616C9A"/>
    <w:multiLevelType w:val="hybridMultilevel"/>
    <w:tmpl w:val="C36A63E6"/>
    <w:lvl w:ilvl="0" w:tplc="D31A0952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794EC0"/>
    <w:multiLevelType w:val="multilevel"/>
    <w:tmpl w:val="795A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AC7BA9"/>
    <w:multiLevelType w:val="multilevel"/>
    <w:tmpl w:val="8824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8994B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4057D3"/>
    <w:multiLevelType w:val="hybridMultilevel"/>
    <w:tmpl w:val="1CD0A5D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9797C5F"/>
    <w:multiLevelType w:val="multilevel"/>
    <w:tmpl w:val="9856CB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9809889">
    <w:abstractNumId w:val="7"/>
  </w:num>
  <w:num w:numId="2" w16cid:durableId="2079012721">
    <w:abstractNumId w:val="1"/>
  </w:num>
  <w:num w:numId="3" w16cid:durableId="1839465331">
    <w:abstractNumId w:val="9"/>
  </w:num>
  <w:num w:numId="4" w16cid:durableId="494030002">
    <w:abstractNumId w:val="19"/>
  </w:num>
  <w:num w:numId="5" w16cid:durableId="1372731085">
    <w:abstractNumId w:val="12"/>
  </w:num>
  <w:num w:numId="6" w16cid:durableId="1959601031">
    <w:abstractNumId w:val="10"/>
  </w:num>
  <w:num w:numId="7" w16cid:durableId="527448642">
    <w:abstractNumId w:val="14"/>
  </w:num>
  <w:num w:numId="8" w16cid:durableId="614364728">
    <w:abstractNumId w:val="18"/>
  </w:num>
  <w:num w:numId="9" w16cid:durableId="2062248020">
    <w:abstractNumId w:val="21"/>
  </w:num>
  <w:num w:numId="10" w16cid:durableId="1390809570">
    <w:abstractNumId w:val="16"/>
  </w:num>
  <w:num w:numId="11" w16cid:durableId="1877084694">
    <w:abstractNumId w:val="12"/>
  </w:num>
  <w:num w:numId="12" w16cid:durableId="736368283">
    <w:abstractNumId w:val="5"/>
  </w:num>
  <w:num w:numId="13" w16cid:durableId="2112627682">
    <w:abstractNumId w:val="12"/>
  </w:num>
  <w:num w:numId="14" w16cid:durableId="1784573210">
    <w:abstractNumId w:val="12"/>
  </w:num>
  <w:num w:numId="15" w16cid:durableId="1506624822">
    <w:abstractNumId w:val="12"/>
  </w:num>
  <w:num w:numId="16" w16cid:durableId="1391925812">
    <w:abstractNumId w:val="12"/>
  </w:num>
  <w:num w:numId="17" w16cid:durableId="225838963">
    <w:abstractNumId w:val="3"/>
  </w:num>
  <w:num w:numId="18" w16cid:durableId="1214655462">
    <w:abstractNumId w:val="0"/>
  </w:num>
  <w:num w:numId="19" w16cid:durableId="1571844501">
    <w:abstractNumId w:val="11"/>
  </w:num>
  <w:num w:numId="20" w16cid:durableId="1578319415">
    <w:abstractNumId w:val="8"/>
  </w:num>
  <w:num w:numId="21" w16cid:durableId="1980453784">
    <w:abstractNumId w:val="15"/>
  </w:num>
  <w:num w:numId="22" w16cid:durableId="982656471">
    <w:abstractNumId w:val="13"/>
  </w:num>
  <w:num w:numId="23" w16cid:durableId="826944054">
    <w:abstractNumId w:val="20"/>
  </w:num>
  <w:num w:numId="24" w16cid:durableId="176045159">
    <w:abstractNumId w:val="17"/>
  </w:num>
  <w:num w:numId="25" w16cid:durableId="134303681">
    <w:abstractNumId w:val="2"/>
  </w:num>
  <w:num w:numId="26" w16cid:durableId="923342726">
    <w:abstractNumId w:val="6"/>
  </w:num>
  <w:num w:numId="27" w16cid:durableId="15237660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5F1B"/>
    <w:rsid w:val="00013A77"/>
    <w:rsid w:val="00033414"/>
    <w:rsid w:val="000358A3"/>
    <w:rsid w:val="00054D01"/>
    <w:rsid w:val="00065284"/>
    <w:rsid w:val="000672B4"/>
    <w:rsid w:val="00072C1E"/>
    <w:rsid w:val="00092B31"/>
    <w:rsid w:val="000C5DA0"/>
    <w:rsid w:val="000C7622"/>
    <w:rsid w:val="000D1379"/>
    <w:rsid w:val="000D4601"/>
    <w:rsid w:val="000E1F8A"/>
    <w:rsid w:val="000E23A7"/>
    <w:rsid w:val="000E4F4B"/>
    <w:rsid w:val="000F674A"/>
    <w:rsid w:val="00104A5A"/>
    <w:rsid w:val="0010693F"/>
    <w:rsid w:val="00111360"/>
    <w:rsid w:val="00114472"/>
    <w:rsid w:val="00116413"/>
    <w:rsid w:val="001165AF"/>
    <w:rsid w:val="00152EC6"/>
    <w:rsid w:val="001550BC"/>
    <w:rsid w:val="001605B9"/>
    <w:rsid w:val="00164A12"/>
    <w:rsid w:val="00170EC5"/>
    <w:rsid w:val="001747C1"/>
    <w:rsid w:val="001750B1"/>
    <w:rsid w:val="00176797"/>
    <w:rsid w:val="001813BF"/>
    <w:rsid w:val="00184743"/>
    <w:rsid w:val="001861B8"/>
    <w:rsid w:val="001A3602"/>
    <w:rsid w:val="001B2834"/>
    <w:rsid w:val="001B540F"/>
    <w:rsid w:val="001C22E7"/>
    <w:rsid w:val="001C4874"/>
    <w:rsid w:val="001C4F72"/>
    <w:rsid w:val="001E62F8"/>
    <w:rsid w:val="001F5C7E"/>
    <w:rsid w:val="00203507"/>
    <w:rsid w:val="00203BA9"/>
    <w:rsid w:val="00203F1E"/>
    <w:rsid w:val="00207DF5"/>
    <w:rsid w:val="00227BAE"/>
    <w:rsid w:val="0023372A"/>
    <w:rsid w:val="00253B76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6A57"/>
    <w:rsid w:val="003119BE"/>
    <w:rsid w:val="00315979"/>
    <w:rsid w:val="00317167"/>
    <w:rsid w:val="00322681"/>
    <w:rsid w:val="003330E9"/>
    <w:rsid w:val="00341DCF"/>
    <w:rsid w:val="00346E96"/>
    <w:rsid w:val="00357BC6"/>
    <w:rsid w:val="003710EB"/>
    <w:rsid w:val="00385A72"/>
    <w:rsid w:val="003956C6"/>
    <w:rsid w:val="003A63EE"/>
    <w:rsid w:val="003A7A56"/>
    <w:rsid w:val="003B39EC"/>
    <w:rsid w:val="003D06BE"/>
    <w:rsid w:val="003F720E"/>
    <w:rsid w:val="004052F0"/>
    <w:rsid w:val="0041746F"/>
    <w:rsid w:val="0043728F"/>
    <w:rsid w:val="004413AA"/>
    <w:rsid w:val="00441430"/>
    <w:rsid w:val="00441A7A"/>
    <w:rsid w:val="00444A1C"/>
    <w:rsid w:val="004468A2"/>
    <w:rsid w:val="00450F07"/>
    <w:rsid w:val="00453CD3"/>
    <w:rsid w:val="00460660"/>
    <w:rsid w:val="004624A6"/>
    <w:rsid w:val="0047567B"/>
    <w:rsid w:val="00483C85"/>
    <w:rsid w:val="00486107"/>
    <w:rsid w:val="00491827"/>
    <w:rsid w:val="00493B1B"/>
    <w:rsid w:val="00496299"/>
    <w:rsid w:val="004B348C"/>
    <w:rsid w:val="004C27A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1F4"/>
    <w:rsid w:val="00553375"/>
    <w:rsid w:val="005736B7"/>
    <w:rsid w:val="00573F5F"/>
    <w:rsid w:val="00575E5A"/>
    <w:rsid w:val="005935C5"/>
    <w:rsid w:val="00593AE5"/>
    <w:rsid w:val="00597D00"/>
    <w:rsid w:val="005A6D3D"/>
    <w:rsid w:val="005B76DD"/>
    <w:rsid w:val="005C6E1F"/>
    <w:rsid w:val="005D5624"/>
    <w:rsid w:val="005D7514"/>
    <w:rsid w:val="005D77DE"/>
    <w:rsid w:val="005F0C9B"/>
    <w:rsid w:val="005F1404"/>
    <w:rsid w:val="005F294E"/>
    <w:rsid w:val="005F2CA1"/>
    <w:rsid w:val="005F67F7"/>
    <w:rsid w:val="0061068E"/>
    <w:rsid w:val="006210CC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6F442C"/>
    <w:rsid w:val="007013B5"/>
    <w:rsid w:val="007061F8"/>
    <w:rsid w:val="00710723"/>
    <w:rsid w:val="00722D4D"/>
    <w:rsid w:val="00723ED1"/>
    <w:rsid w:val="00730859"/>
    <w:rsid w:val="00740DE9"/>
    <w:rsid w:val="00743525"/>
    <w:rsid w:val="0074484D"/>
    <w:rsid w:val="007452AF"/>
    <w:rsid w:val="007576A4"/>
    <w:rsid w:val="0076286B"/>
    <w:rsid w:val="00766846"/>
    <w:rsid w:val="0077261C"/>
    <w:rsid w:val="0077673A"/>
    <w:rsid w:val="00782A52"/>
    <w:rsid w:val="007846E1"/>
    <w:rsid w:val="00791AC7"/>
    <w:rsid w:val="0079254B"/>
    <w:rsid w:val="00796A0B"/>
    <w:rsid w:val="007A0AB5"/>
    <w:rsid w:val="007A0C04"/>
    <w:rsid w:val="007A3AC2"/>
    <w:rsid w:val="007B4B2B"/>
    <w:rsid w:val="007B4F01"/>
    <w:rsid w:val="007B570C"/>
    <w:rsid w:val="007C589B"/>
    <w:rsid w:val="007C6215"/>
    <w:rsid w:val="007D37B0"/>
    <w:rsid w:val="007D6C34"/>
    <w:rsid w:val="007E165D"/>
    <w:rsid w:val="007E4A6E"/>
    <w:rsid w:val="007E5C6D"/>
    <w:rsid w:val="007F56A7"/>
    <w:rsid w:val="007F5EC4"/>
    <w:rsid w:val="008045F2"/>
    <w:rsid w:val="00807DD0"/>
    <w:rsid w:val="00823FBB"/>
    <w:rsid w:val="0082511E"/>
    <w:rsid w:val="00835FC5"/>
    <w:rsid w:val="008532D8"/>
    <w:rsid w:val="008659F3"/>
    <w:rsid w:val="00886D4B"/>
    <w:rsid w:val="00893FF1"/>
    <w:rsid w:val="00895406"/>
    <w:rsid w:val="008A3568"/>
    <w:rsid w:val="008A506E"/>
    <w:rsid w:val="008B1447"/>
    <w:rsid w:val="008B2F9B"/>
    <w:rsid w:val="008B5D91"/>
    <w:rsid w:val="008C5881"/>
    <w:rsid w:val="008D03B9"/>
    <w:rsid w:val="008D0D38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5170"/>
    <w:rsid w:val="009461FB"/>
    <w:rsid w:val="00962258"/>
    <w:rsid w:val="009678B7"/>
    <w:rsid w:val="0097556C"/>
    <w:rsid w:val="009768EC"/>
    <w:rsid w:val="009833E1"/>
    <w:rsid w:val="00986E0C"/>
    <w:rsid w:val="009900CE"/>
    <w:rsid w:val="0099128F"/>
    <w:rsid w:val="00992D9C"/>
    <w:rsid w:val="00996CB8"/>
    <w:rsid w:val="009B14A9"/>
    <w:rsid w:val="009B2E97"/>
    <w:rsid w:val="009B3252"/>
    <w:rsid w:val="009D448B"/>
    <w:rsid w:val="009D5BC0"/>
    <w:rsid w:val="009E07F4"/>
    <w:rsid w:val="009E574A"/>
    <w:rsid w:val="009F352E"/>
    <w:rsid w:val="009F392E"/>
    <w:rsid w:val="00A24249"/>
    <w:rsid w:val="00A24EC2"/>
    <w:rsid w:val="00A33BB9"/>
    <w:rsid w:val="00A349F7"/>
    <w:rsid w:val="00A439C1"/>
    <w:rsid w:val="00A453A2"/>
    <w:rsid w:val="00A57C0A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3B5E"/>
    <w:rsid w:val="00AD6731"/>
    <w:rsid w:val="00AE4595"/>
    <w:rsid w:val="00B03CF9"/>
    <w:rsid w:val="00B15D0D"/>
    <w:rsid w:val="00B25AED"/>
    <w:rsid w:val="00B4014E"/>
    <w:rsid w:val="00B53D3F"/>
    <w:rsid w:val="00B56FC3"/>
    <w:rsid w:val="00B75EE1"/>
    <w:rsid w:val="00B77481"/>
    <w:rsid w:val="00B8518B"/>
    <w:rsid w:val="00B916ED"/>
    <w:rsid w:val="00BA07DC"/>
    <w:rsid w:val="00BA14C1"/>
    <w:rsid w:val="00BA3DD3"/>
    <w:rsid w:val="00BC51D3"/>
    <w:rsid w:val="00BD32CD"/>
    <w:rsid w:val="00BD7E91"/>
    <w:rsid w:val="00BE2F45"/>
    <w:rsid w:val="00C02D0A"/>
    <w:rsid w:val="00C03A6E"/>
    <w:rsid w:val="00C03A71"/>
    <w:rsid w:val="00C10104"/>
    <w:rsid w:val="00C14266"/>
    <w:rsid w:val="00C15656"/>
    <w:rsid w:val="00C24C30"/>
    <w:rsid w:val="00C366E0"/>
    <w:rsid w:val="00C3718B"/>
    <w:rsid w:val="00C4273A"/>
    <w:rsid w:val="00C44F6A"/>
    <w:rsid w:val="00C47AE3"/>
    <w:rsid w:val="00C51087"/>
    <w:rsid w:val="00C63CB5"/>
    <w:rsid w:val="00C72B6B"/>
    <w:rsid w:val="00C82BF5"/>
    <w:rsid w:val="00CA4013"/>
    <w:rsid w:val="00CB3AD5"/>
    <w:rsid w:val="00CC1601"/>
    <w:rsid w:val="00CC52A1"/>
    <w:rsid w:val="00CD16B7"/>
    <w:rsid w:val="00CD1FC4"/>
    <w:rsid w:val="00CD6337"/>
    <w:rsid w:val="00CE7733"/>
    <w:rsid w:val="00CF51DB"/>
    <w:rsid w:val="00D043A4"/>
    <w:rsid w:val="00D126E0"/>
    <w:rsid w:val="00D21061"/>
    <w:rsid w:val="00D24C92"/>
    <w:rsid w:val="00D3557A"/>
    <w:rsid w:val="00D36EA8"/>
    <w:rsid w:val="00D37801"/>
    <w:rsid w:val="00D4108E"/>
    <w:rsid w:val="00D524FE"/>
    <w:rsid w:val="00D6163D"/>
    <w:rsid w:val="00D6524B"/>
    <w:rsid w:val="00D711D1"/>
    <w:rsid w:val="00D77DE5"/>
    <w:rsid w:val="00D831A3"/>
    <w:rsid w:val="00D85C5B"/>
    <w:rsid w:val="00D86AB9"/>
    <w:rsid w:val="00DC41AD"/>
    <w:rsid w:val="00DC75F3"/>
    <w:rsid w:val="00DD46F3"/>
    <w:rsid w:val="00DE56F2"/>
    <w:rsid w:val="00DF116D"/>
    <w:rsid w:val="00E07F03"/>
    <w:rsid w:val="00E17FE7"/>
    <w:rsid w:val="00E303C3"/>
    <w:rsid w:val="00E30A6F"/>
    <w:rsid w:val="00E55BA0"/>
    <w:rsid w:val="00E60DBC"/>
    <w:rsid w:val="00E7068E"/>
    <w:rsid w:val="00E967DA"/>
    <w:rsid w:val="00EA1DA7"/>
    <w:rsid w:val="00EB104F"/>
    <w:rsid w:val="00ED14BD"/>
    <w:rsid w:val="00EE3379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45791"/>
    <w:rsid w:val="00F538CB"/>
    <w:rsid w:val="00F63543"/>
    <w:rsid w:val="00F659EB"/>
    <w:rsid w:val="00F86BA6"/>
    <w:rsid w:val="00F919AE"/>
    <w:rsid w:val="00FA559E"/>
    <w:rsid w:val="00FB5045"/>
    <w:rsid w:val="00FC6389"/>
    <w:rsid w:val="00FD1CC0"/>
    <w:rsid w:val="00FD56DD"/>
    <w:rsid w:val="00FE7CC1"/>
    <w:rsid w:val="00FF5A0A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adpis3"/>
    <w:next w:val="Normln"/>
    <w:link w:val="Nadpis1Char"/>
    <w:uiPriority w:val="9"/>
    <w:qFormat/>
    <w:rsid w:val="009F352E"/>
    <w:pPr>
      <w:spacing w:before="360" w:after="120"/>
      <w:ind w:left="357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19AE"/>
    <w:pPr>
      <w:keepNext/>
      <w:keepLines/>
      <w:numPr>
        <w:numId w:val="20"/>
      </w:numPr>
      <w:spacing w:before="240" w:after="0"/>
      <w:ind w:left="360"/>
      <w:outlineLvl w:val="2"/>
    </w:pPr>
    <w:rPr>
      <w:rFonts w:asciiTheme="majorHAnsi" w:eastAsiaTheme="majorEastAsia" w:hAnsiTheme="majorHAnsi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52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919A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1-2">
    <w:name w:val="_Text_1-2"/>
    <w:basedOn w:val="Text1-1"/>
    <w:qFormat/>
    <w:rsid w:val="00152EC6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152EC6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152EC6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152EC6"/>
  </w:style>
  <w:style w:type="paragraph" w:customStyle="1" w:styleId="RLTextlnkuslovan">
    <w:name w:val="RL Text článku číslovaný"/>
    <w:basedOn w:val="Normln"/>
    <w:rsid w:val="00152EC6"/>
    <w:pPr>
      <w:numPr>
        <w:ilvl w:val="1"/>
        <w:numId w:val="1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152EC6"/>
    <w:pPr>
      <w:keepNext/>
      <w:numPr>
        <w:numId w:val="1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152EC6"/>
  </w:style>
  <w:style w:type="paragraph" w:customStyle="1" w:styleId="Pododstavecsmlouvy">
    <w:name w:val="Pododstavec smlouvy"/>
    <w:basedOn w:val="RLTextlnkuslovan"/>
    <w:qFormat/>
    <w:rsid w:val="00152EC6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152EC6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Nadpis1-1Char">
    <w:name w:val="_Nadpis_1-1 Char"/>
    <w:basedOn w:val="Standardnpsmoodstavce"/>
    <w:link w:val="Nadpis1-1"/>
    <w:rsid w:val="009D448B"/>
    <w:rPr>
      <w:rFonts w:asciiTheme="majorHAnsi" w:hAnsiTheme="majorHAnsi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5F67F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F67F7"/>
  </w:style>
  <w:style w:type="paragraph" w:customStyle="1" w:styleId="BodyText31">
    <w:name w:val="Body Text 31"/>
    <w:basedOn w:val="Normln"/>
    <w:rsid w:val="00227BAE"/>
    <w:pPr>
      <w:tabs>
        <w:tab w:val="left" w:pos="2268"/>
        <w:tab w:val="left" w:pos="453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9E574A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5A6D3D"/>
    <w:pPr>
      <w:spacing w:after="0" w:line="240" w:lineRule="auto"/>
    </w:pPr>
    <w:rPr>
      <w:rFonts w:ascii="Verdana" w:hAnsi="Verdana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tejskalP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9F32E-69D9-4C45-B22B-9945667FA9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2569</Words>
  <Characters>15160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Stejskal Pavel, Ing.</cp:lastModifiedBy>
  <cp:revision>30</cp:revision>
  <cp:lastPrinted>2017-11-28T17:18:00Z</cp:lastPrinted>
  <dcterms:created xsi:type="dcterms:W3CDTF">2023-07-10T07:39:00Z</dcterms:created>
  <dcterms:modified xsi:type="dcterms:W3CDTF">2023-07-25T13:25:00Z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